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95B5E0" w14:textId="2339D433" w:rsidR="00CB2867" w:rsidRPr="00D133C3" w:rsidRDefault="00CB2867" w:rsidP="00CB2867">
      <w:pPr>
        <w:widowControl w:val="0"/>
        <w:spacing w:after="0" w:line="240" w:lineRule="auto"/>
        <w:rPr>
          <w:rFonts w:ascii="Times New Roman" w:hAnsi="Times New Roman" w:cs="Times New Roman"/>
          <w:b/>
          <w:bCs/>
          <w:color w:val="000000" w:themeColor="text1"/>
        </w:rPr>
      </w:pPr>
      <w:r w:rsidRPr="00D133C3">
        <w:rPr>
          <w:rFonts w:ascii="Times New Roman" w:hAnsi="Times New Roman" w:cs="Times New Roman"/>
          <w:b/>
          <w:bCs/>
          <w:color w:val="000000" w:themeColor="text1"/>
        </w:rPr>
        <w:t>Article type</w:t>
      </w:r>
      <w:r w:rsidR="008778EA" w:rsidRPr="00D133C3">
        <w:rPr>
          <w:rFonts w:ascii="Times New Roman" w:hAnsi="Times New Roman" w:cs="Times New Roman"/>
          <w:b/>
          <w:bCs/>
          <w:color w:val="000000" w:themeColor="text1"/>
        </w:rPr>
        <w:t xml:space="preserve">: </w:t>
      </w:r>
      <w:r w:rsidR="00502E9E" w:rsidRPr="00D133C3">
        <w:rPr>
          <w:rFonts w:ascii="Times New Roman" w:hAnsi="Times New Roman" w:cs="Times New Roman"/>
          <w:b/>
          <w:bCs/>
          <w:color w:val="C00000"/>
        </w:rPr>
        <w:t>Full Length/</w:t>
      </w:r>
      <w:r w:rsidR="009440CF" w:rsidRPr="00D133C3">
        <w:rPr>
          <w:rFonts w:ascii="Times New Roman" w:hAnsi="Times New Roman" w:cs="Times New Roman"/>
          <w:b/>
          <w:bCs/>
          <w:color w:val="C00000"/>
        </w:rPr>
        <w:t>Original</w:t>
      </w:r>
      <w:r w:rsidR="00502E9E" w:rsidRPr="00D133C3">
        <w:rPr>
          <w:rFonts w:ascii="Times New Roman" w:hAnsi="Times New Roman" w:cs="Times New Roman"/>
          <w:b/>
          <w:bCs/>
          <w:color w:val="C00000"/>
        </w:rPr>
        <w:t xml:space="preserve"> Article</w:t>
      </w:r>
    </w:p>
    <w:p w14:paraId="03F58791" w14:textId="77777777" w:rsidR="00CB2867" w:rsidRPr="00D133C3" w:rsidRDefault="00CB2867" w:rsidP="00CB2867">
      <w:pPr>
        <w:widowControl w:val="0"/>
        <w:spacing w:after="0" w:line="240" w:lineRule="auto"/>
        <w:rPr>
          <w:rFonts w:ascii="Times New Roman" w:hAnsi="Times New Roman" w:cs="Times New Roman"/>
          <w:b/>
          <w:bCs/>
          <w:color w:val="000000" w:themeColor="text1"/>
          <w:sz w:val="34"/>
          <w:szCs w:val="34"/>
        </w:rPr>
      </w:pPr>
    </w:p>
    <w:p w14:paraId="187D907E" w14:textId="323FC664" w:rsidR="00CB2867" w:rsidRPr="00D133C3" w:rsidRDefault="0060090F" w:rsidP="00CB2867">
      <w:pPr>
        <w:widowControl w:val="0"/>
        <w:spacing w:after="0" w:line="240" w:lineRule="auto"/>
        <w:jc w:val="center"/>
        <w:rPr>
          <w:rFonts w:ascii="Times New Roman" w:hAnsi="Times New Roman" w:cs="Times New Roman"/>
          <w:b/>
          <w:bCs/>
          <w:color w:val="000000" w:themeColor="text1"/>
          <w:sz w:val="34"/>
          <w:szCs w:val="34"/>
        </w:rPr>
      </w:pPr>
      <w:r w:rsidRPr="00D133C3">
        <w:rPr>
          <w:rFonts w:ascii="Times New Roman" w:hAnsi="Times New Roman" w:cs="Times New Roman"/>
          <w:b/>
          <w:bCs/>
          <w:color w:val="000000" w:themeColor="text1"/>
          <w:sz w:val="34"/>
          <w:szCs w:val="34"/>
        </w:rPr>
        <w:t xml:space="preserve">Antitumor Efficacy and Molecular Mechanisms of a Novel </w:t>
      </w:r>
      <w:proofErr w:type="spellStart"/>
      <w:r w:rsidRPr="00D133C3">
        <w:rPr>
          <w:rFonts w:ascii="Times New Roman" w:hAnsi="Times New Roman" w:cs="Times New Roman"/>
          <w:b/>
          <w:bCs/>
          <w:color w:val="000000" w:themeColor="text1"/>
          <w:sz w:val="34"/>
          <w:szCs w:val="34"/>
        </w:rPr>
        <w:t>Tropolone</w:t>
      </w:r>
      <w:proofErr w:type="spellEnd"/>
      <w:r w:rsidRPr="00D133C3">
        <w:rPr>
          <w:rFonts w:ascii="Times New Roman" w:hAnsi="Times New Roman" w:cs="Times New Roman"/>
          <w:b/>
          <w:bCs/>
          <w:color w:val="000000" w:themeColor="text1"/>
          <w:sz w:val="34"/>
          <w:szCs w:val="34"/>
        </w:rPr>
        <w:t xml:space="preserve"> Derivative JO-122(2) in Combination with </w:t>
      </w:r>
      <w:proofErr w:type="spellStart"/>
      <w:r w:rsidRPr="00D133C3">
        <w:rPr>
          <w:rFonts w:ascii="Times New Roman" w:hAnsi="Times New Roman" w:cs="Times New Roman"/>
          <w:b/>
          <w:bCs/>
          <w:color w:val="000000" w:themeColor="text1"/>
          <w:sz w:val="34"/>
          <w:szCs w:val="34"/>
        </w:rPr>
        <w:t>Temozolomide</w:t>
      </w:r>
      <w:proofErr w:type="spellEnd"/>
      <w:r w:rsidR="00634B45" w:rsidRPr="00D133C3">
        <w:rPr>
          <w:rFonts w:ascii="Times New Roman" w:hAnsi="Times New Roman" w:cs="Times New Roman"/>
          <w:b/>
          <w:bCs/>
          <w:color w:val="000000" w:themeColor="text1"/>
          <w:sz w:val="34"/>
          <w:szCs w:val="34"/>
        </w:rPr>
        <w:t xml:space="preserve"> in a U87</w:t>
      </w:r>
      <w:r w:rsidRPr="00D133C3">
        <w:rPr>
          <w:rFonts w:ascii="Times New Roman" w:hAnsi="Times New Roman" w:cs="Times New Roman"/>
          <w:b/>
          <w:bCs/>
          <w:color w:val="000000" w:themeColor="text1"/>
          <w:sz w:val="34"/>
          <w:szCs w:val="34"/>
        </w:rPr>
        <w:t xml:space="preserve">MG Glioblastoma Xenograft Model </w:t>
      </w:r>
    </w:p>
    <w:p w14:paraId="241CEA92" w14:textId="77777777" w:rsidR="00CB2867" w:rsidRPr="00D133C3" w:rsidRDefault="00CB2867" w:rsidP="00CB2867">
      <w:pPr>
        <w:widowControl w:val="0"/>
        <w:spacing w:after="0" w:line="240" w:lineRule="auto"/>
        <w:ind w:hanging="284"/>
        <w:jc w:val="center"/>
        <w:rPr>
          <w:rFonts w:ascii="Times New Roman" w:hAnsi="Times New Roman" w:cs="Times New Roman"/>
          <w:bCs/>
          <w:color w:val="000000" w:themeColor="text1"/>
          <w:sz w:val="24"/>
          <w:szCs w:val="24"/>
        </w:rPr>
      </w:pPr>
    </w:p>
    <w:p w14:paraId="7C2B2523" w14:textId="77777777" w:rsidR="002B6748" w:rsidRDefault="002B6748" w:rsidP="00E4187C">
      <w:pPr>
        <w:widowControl w:val="0"/>
        <w:spacing w:after="0" w:line="240" w:lineRule="auto"/>
        <w:rPr>
          <w:rFonts w:ascii="Times New Roman" w:hAnsi="Times New Roman" w:cs="Times New Roman"/>
          <w:b/>
          <w:bCs/>
          <w:color w:val="000000" w:themeColor="text1"/>
          <w:sz w:val="20"/>
          <w:szCs w:val="20"/>
        </w:rPr>
      </w:pPr>
    </w:p>
    <w:p w14:paraId="5E4AE04D" w14:textId="0AC9D633" w:rsidR="00CB2867" w:rsidRPr="00D133C3" w:rsidRDefault="00E4187C" w:rsidP="00E4187C">
      <w:pPr>
        <w:widowControl w:val="0"/>
        <w:spacing w:after="0" w:line="240" w:lineRule="auto"/>
        <w:rPr>
          <w:rFonts w:ascii="Times New Roman" w:hAnsi="Times New Roman" w:cs="Times New Roman"/>
          <w:b/>
          <w:bCs/>
          <w:color w:val="000000" w:themeColor="text1"/>
          <w:sz w:val="20"/>
          <w:szCs w:val="20"/>
        </w:rPr>
      </w:pPr>
      <w:r w:rsidRPr="00D133C3">
        <w:rPr>
          <w:rFonts w:ascii="Times New Roman" w:hAnsi="Times New Roman" w:cs="Times New Roman"/>
          <w:b/>
          <w:bCs/>
          <w:color w:val="000000" w:themeColor="text1"/>
          <w:sz w:val="20"/>
          <w:szCs w:val="20"/>
        </w:rPr>
        <w:t>Running title</w:t>
      </w:r>
      <w:r w:rsidRPr="00D133C3">
        <w:rPr>
          <w:rFonts w:ascii="Times New Roman" w:hAnsi="Times New Roman" w:cs="Times New Roman"/>
          <w:bCs/>
          <w:color w:val="000000" w:themeColor="text1"/>
          <w:sz w:val="20"/>
          <w:szCs w:val="20"/>
        </w:rPr>
        <w:t xml:space="preserve">: </w:t>
      </w:r>
      <w:r w:rsidR="0060090F" w:rsidRPr="00D133C3">
        <w:rPr>
          <w:rFonts w:ascii="Times New Roman" w:hAnsi="Times New Roman" w:cs="Times New Roman"/>
          <w:bCs/>
          <w:color w:val="000000" w:themeColor="text1"/>
          <w:sz w:val="20"/>
          <w:szCs w:val="20"/>
        </w:rPr>
        <w:t>JO-122(2)</w:t>
      </w:r>
      <w:r w:rsidR="0060090F" w:rsidRPr="00D133C3">
        <w:rPr>
          <w:rFonts w:ascii="Times New Roman" w:hAnsi="Times New Roman" w:cs="Times New Roman"/>
          <w:b/>
          <w:bCs/>
          <w:color w:val="000000" w:themeColor="text1"/>
          <w:sz w:val="20"/>
          <w:szCs w:val="20"/>
        </w:rPr>
        <w:t xml:space="preserve"> </w:t>
      </w:r>
      <w:r w:rsidR="0060090F" w:rsidRPr="00D133C3">
        <w:rPr>
          <w:rFonts w:ascii="Times New Roman" w:hAnsi="Times New Roman" w:cs="Times New Roman"/>
          <w:color w:val="000000" w:themeColor="text1"/>
          <w:sz w:val="20"/>
          <w:szCs w:val="20"/>
        </w:rPr>
        <w:t xml:space="preserve">Enhances </w:t>
      </w:r>
      <w:proofErr w:type="spellStart"/>
      <w:r w:rsidR="0060090F" w:rsidRPr="00D133C3">
        <w:rPr>
          <w:rFonts w:ascii="Times New Roman" w:hAnsi="Times New Roman" w:cs="Times New Roman"/>
          <w:color w:val="000000" w:themeColor="text1"/>
          <w:sz w:val="20"/>
          <w:szCs w:val="20"/>
        </w:rPr>
        <w:t>Temozolomide</w:t>
      </w:r>
      <w:proofErr w:type="spellEnd"/>
      <w:r w:rsidR="0060090F" w:rsidRPr="00D133C3">
        <w:rPr>
          <w:rFonts w:ascii="Times New Roman" w:hAnsi="Times New Roman" w:cs="Times New Roman"/>
          <w:color w:val="000000" w:themeColor="text1"/>
          <w:sz w:val="20"/>
          <w:szCs w:val="20"/>
        </w:rPr>
        <w:t xml:space="preserve"> Efficacy in Glioblastoma</w:t>
      </w:r>
    </w:p>
    <w:p w14:paraId="45AC186B" w14:textId="77777777" w:rsidR="00BD3A38" w:rsidRPr="00D133C3" w:rsidRDefault="00BD3A38" w:rsidP="00CB2867">
      <w:pPr>
        <w:widowControl w:val="0"/>
        <w:spacing w:after="0" w:line="240" w:lineRule="auto"/>
        <w:ind w:hanging="284"/>
        <w:jc w:val="center"/>
        <w:rPr>
          <w:rFonts w:ascii="Times New Roman" w:hAnsi="Times New Roman" w:cs="Times New Roman"/>
          <w:b/>
          <w:bCs/>
          <w:color w:val="000000" w:themeColor="text1"/>
          <w:sz w:val="24"/>
          <w:szCs w:val="24"/>
        </w:rPr>
      </w:pPr>
    </w:p>
    <w:p w14:paraId="11C7CFC7" w14:textId="77777777" w:rsidR="005030F2" w:rsidRPr="00D133C3" w:rsidRDefault="005030F2" w:rsidP="00CB2867">
      <w:pPr>
        <w:pStyle w:val="af3"/>
        <w:rPr>
          <w:rFonts w:cstheme="minorHAnsi"/>
          <w:b/>
          <w:bCs/>
          <w:color w:val="000000" w:themeColor="text1"/>
          <w:sz w:val="18"/>
          <w:szCs w:val="18"/>
        </w:rPr>
      </w:pPr>
    </w:p>
    <w:p w14:paraId="6FB41B6D" w14:textId="77777777" w:rsidR="00E4187C" w:rsidRPr="00D133C3" w:rsidRDefault="00E4187C" w:rsidP="00E4187C">
      <w:pPr>
        <w:widowControl w:val="0"/>
        <w:autoSpaceDE w:val="0"/>
        <w:autoSpaceDN w:val="0"/>
        <w:adjustRightInd w:val="0"/>
        <w:spacing w:after="0" w:line="238" w:lineRule="auto"/>
        <w:jc w:val="center"/>
        <w:rPr>
          <w:rFonts w:ascii="Times New Roman" w:hAnsi="Times New Roman" w:cs="Times New Roman"/>
          <w:b/>
          <w:color w:val="000000" w:themeColor="text1"/>
          <w:sz w:val="21"/>
          <w:szCs w:val="21"/>
        </w:rPr>
      </w:pPr>
    </w:p>
    <w:p w14:paraId="5E8B6B4C" w14:textId="77777777" w:rsidR="00DF5231" w:rsidRPr="00D133C3" w:rsidRDefault="00DF5231" w:rsidP="00E4187C">
      <w:pPr>
        <w:widowControl w:val="0"/>
        <w:autoSpaceDE w:val="0"/>
        <w:autoSpaceDN w:val="0"/>
        <w:adjustRightInd w:val="0"/>
        <w:spacing w:after="0" w:line="238" w:lineRule="auto"/>
        <w:jc w:val="center"/>
        <w:rPr>
          <w:rFonts w:ascii="Times New Roman" w:hAnsi="Times New Roman" w:cs="Times New Roman"/>
          <w:b/>
          <w:color w:val="000000" w:themeColor="text1"/>
          <w:sz w:val="21"/>
          <w:szCs w:val="21"/>
        </w:rPr>
      </w:pPr>
    </w:p>
    <w:p w14:paraId="57FC0138" w14:textId="77777777" w:rsidR="00A56823" w:rsidRPr="00D133C3" w:rsidRDefault="00A56823" w:rsidP="00A56823">
      <w:pPr>
        <w:spacing w:after="0" w:line="240" w:lineRule="auto"/>
        <w:jc w:val="center"/>
        <w:rPr>
          <w:rFonts w:asciiTheme="majorBidi" w:hAnsiTheme="majorBidi" w:cstheme="majorBidi"/>
          <w:b/>
          <w:bCs/>
          <w:color w:val="000000" w:themeColor="text1"/>
          <w:sz w:val="26"/>
          <w:szCs w:val="26"/>
        </w:rPr>
      </w:pPr>
      <w:r w:rsidRPr="00D133C3">
        <w:rPr>
          <w:rFonts w:asciiTheme="majorBidi" w:hAnsiTheme="majorBidi" w:cstheme="majorBidi"/>
          <w:b/>
          <w:bCs/>
          <w:color w:val="000000" w:themeColor="text1"/>
          <w:sz w:val="26"/>
          <w:szCs w:val="26"/>
        </w:rPr>
        <w:t xml:space="preserve">Declarations </w:t>
      </w:r>
    </w:p>
    <w:p w14:paraId="79C7A8AB" w14:textId="77777777" w:rsidR="00A56823" w:rsidRPr="00D133C3" w:rsidRDefault="00A56823" w:rsidP="00A56823">
      <w:pPr>
        <w:spacing w:after="0" w:line="240" w:lineRule="auto"/>
        <w:jc w:val="center"/>
        <w:rPr>
          <w:rFonts w:asciiTheme="majorBidi" w:hAnsiTheme="majorBidi" w:cstheme="majorBidi"/>
          <w:b/>
          <w:bCs/>
          <w:color w:val="000000" w:themeColor="text1"/>
          <w:sz w:val="26"/>
          <w:szCs w:val="26"/>
        </w:rPr>
      </w:pPr>
    </w:p>
    <w:p w14:paraId="15BB1FD6" w14:textId="77777777" w:rsidR="00A56823" w:rsidRPr="00D133C3" w:rsidRDefault="00A56823" w:rsidP="00A56823">
      <w:pPr>
        <w:tabs>
          <w:tab w:val="left" w:pos="2246"/>
        </w:tabs>
        <w:spacing w:after="0"/>
        <w:jc w:val="both"/>
        <w:rPr>
          <w:rFonts w:asciiTheme="majorBidi" w:hAnsiTheme="majorBidi" w:cstheme="majorBidi"/>
          <w:b/>
          <w:bCs/>
          <w:color w:val="000000" w:themeColor="text1"/>
          <w:sz w:val="24"/>
          <w:szCs w:val="24"/>
        </w:rPr>
      </w:pPr>
      <w:r w:rsidRPr="00D133C3">
        <w:rPr>
          <w:rFonts w:asciiTheme="majorBidi" w:hAnsiTheme="majorBidi" w:cstheme="majorBidi"/>
          <w:b/>
          <w:bCs/>
          <w:color w:val="000000" w:themeColor="text1"/>
          <w:sz w:val="24"/>
          <w:szCs w:val="24"/>
        </w:rPr>
        <w:t xml:space="preserve">Acknowledgments </w:t>
      </w:r>
    </w:p>
    <w:p w14:paraId="46C10B24" w14:textId="0252375B" w:rsidR="00A56823" w:rsidRPr="00D133C3" w:rsidRDefault="0060090F" w:rsidP="00A56823">
      <w:pPr>
        <w:pStyle w:val="afa"/>
        <w:jc w:val="both"/>
        <w:rPr>
          <w:rFonts w:asciiTheme="majorBidi" w:hAnsiTheme="majorBidi" w:cstheme="majorBidi"/>
          <w:b/>
          <w:bCs/>
          <w:color w:val="000000" w:themeColor="text1"/>
        </w:rPr>
      </w:pPr>
      <w:r w:rsidRPr="00D133C3">
        <w:rPr>
          <w:rFonts w:asciiTheme="majorBidi" w:hAnsiTheme="majorBidi" w:cstheme="majorBidi"/>
          <w:color w:val="000000" w:themeColor="text1"/>
        </w:rPr>
        <w:t xml:space="preserve">No artificial intelligence services were used to prepare this manuscript. </w:t>
      </w:r>
    </w:p>
    <w:p w14:paraId="76D538F8" w14:textId="77777777" w:rsidR="00A56823" w:rsidRPr="00D133C3" w:rsidRDefault="00A56823" w:rsidP="00A56823">
      <w:pPr>
        <w:spacing w:after="0" w:line="240" w:lineRule="auto"/>
        <w:contextualSpacing/>
        <w:rPr>
          <w:rFonts w:asciiTheme="majorBidi" w:hAnsiTheme="majorBidi" w:cstheme="majorBidi"/>
          <w:b/>
          <w:bCs/>
          <w:color w:val="000000" w:themeColor="text1"/>
          <w:sz w:val="24"/>
          <w:szCs w:val="24"/>
        </w:rPr>
      </w:pPr>
      <w:r w:rsidRPr="00D133C3">
        <w:rPr>
          <w:rFonts w:asciiTheme="majorBidi" w:hAnsiTheme="majorBidi" w:cstheme="majorBidi"/>
          <w:b/>
          <w:bCs/>
          <w:color w:val="000000" w:themeColor="text1"/>
          <w:sz w:val="24"/>
          <w:szCs w:val="24"/>
        </w:rPr>
        <w:t>Ethical approval</w:t>
      </w:r>
    </w:p>
    <w:p w14:paraId="6CF77A93" w14:textId="06127839" w:rsidR="00A56823" w:rsidRPr="00D133C3" w:rsidRDefault="00634B45" w:rsidP="00A56823">
      <w:pPr>
        <w:widowControl w:val="0"/>
        <w:spacing w:after="0" w:line="240" w:lineRule="auto"/>
        <w:jc w:val="both"/>
        <w:rPr>
          <w:rFonts w:ascii="Times New Roman" w:hAnsi="Times New Roman" w:cs="Times New Roman"/>
          <w:sz w:val="21"/>
          <w:szCs w:val="21"/>
          <w:shd w:val="clear" w:color="auto" w:fill="FFFFFF"/>
        </w:rPr>
      </w:pPr>
      <w:r w:rsidRPr="00D133C3">
        <w:rPr>
          <w:rFonts w:ascii="Times New Roman" w:hAnsi="Times New Roman" w:cs="Times New Roman"/>
          <w:sz w:val="21"/>
          <w:szCs w:val="21"/>
          <w:shd w:val="clear" w:color="auto" w:fill="FFFFFF"/>
        </w:rPr>
        <w:t xml:space="preserve">The study was reviewed and approved by the local bioethics committee of </w:t>
      </w:r>
      <w:r w:rsidR="00003078" w:rsidRPr="00D133C3">
        <w:rPr>
          <w:rFonts w:ascii="Times New Roman" w:hAnsi="Times New Roman" w:cs="Times New Roman"/>
          <w:sz w:val="21"/>
          <w:szCs w:val="21"/>
          <w:shd w:val="clear" w:color="auto" w:fill="FFFFFF"/>
        </w:rPr>
        <w:t>National Medical Research Centre for Oncology</w:t>
      </w:r>
      <w:r w:rsidRPr="00D133C3">
        <w:rPr>
          <w:rFonts w:ascii="Times New Roman" w:hAnsi="Times New Roman" w:cs="Times New Roman"/>
          <w:sz w:val="21"/>
          <w:szCs w:val="21"/>
          <w:shd w:val="clear" w:color="auto" w:fill="FFFFFF"/>
        </w:rPr>
        <w:t xml:space="preserve"> of the Ministry of Health of the Ru</w:t>
      </w:r>
      <w:r w:rsidR="00003078" w:rsidRPr="00D133C3">
        <w:rPr>
          <w:rFonts w:ascii="Times New Roman" w:hAnsi="Times New Roman" w:cs="Times New Roman"/>
          <w:sz w:val="21"/>
          <w:szCs w:val="21"/>
          <w:shd w:val="clear" w:color="auto" w:fill="FFFFFF"/>
        </w:rPr>
        <w:t>ssian Federation (protocol No. 3/221</w:t>
      </w:r>
      <w:r w:rsidRPr="00D133C3">
        <w:rPr>
          <w:rFonts w:ascii="Times New Roman" w:hAnsi="Times New Roman" w:cs="Times New Roman"/>
          <w:sz w:val="21"/>
          <w:szCs w:val="21"/>
          <w:shd w:val="clear" w:color="auto" w:fill="FFFFFF"/>
        </w:rPr>
        <w:t>). All experiments on animals were performed in accordance with the ethical principles established by the European Convention for the Protection of Vertebrate Animals.</w:t>
      </w:r>
    </w:p>
    <w:p w14:paraId="6D265C99" w14:textId="77777777" w:rsidR="00A56823" w:rsidRPr="00D133C3" w:rsidRDefault="00A56823" w:rsidP="0060090F">
      <w:pPr>
        <w:widowControl w:val="0"/>
        <w:spacing w:after="0" w:line="240" w:lineRule="auto"/>
        <w:jc w:val="both"/>
        <w:rPr>
          <w:rFonts w:ascii="Times New Roman" w:hAnsi="Times New Roman" w:cs="Times New Roman"/>
          <w:sz w:val="21"/>
          <w:szCs w:val="21"/>
          <w:shd w:val="clear" w:color="auto" w:fill="FFFFFF"/>
        </w:rPr>
      </w:pPr>
    </w:p>
    <w:p w14:paraId="2E48140B" w14:textId="77777777" w:rsidR="00A56823" w:rsidRPr="00D133C3" w:rsidRDefault="00A56823" w:rsidP="00A56823">
      <w:pPr>
        <w:spacing w:after="0" w:line="240" w:lineRule="auto"/>
        <w:contextualSpacing/>
        <w:jc w:val="both"/>
        <w:rPr>
          <w:rFonts w:asciiTheme="majorBidi" w:hAnsiTheme="majorBidi" w:cstheme="majorBidi"/>
          <w:b/>
          <w:bCs/>
          <w:color w:val="000000" w:themeColor="text1"/>
          <w:sz w:val="24"/>
          <w:szCs w:val="24"/>
        </w:rPr>
      </w:pPr>
      <w:r w:rsidRPr="00D133C3">
        <w:rPr>
          <w:rFonts w:asciiTheme="majorBidi" w:hAnsiTheme="majorBidi" w:cstheme="majorBidi"/>
          <w:b/>
          <w:bCs/>
          <w:color w:val="000000" w:themeColor="text1"/>
          <w:sz w:val="24"/>
          <w:szCs w:val="24"/>
        </w:rPr>
        <w:t>Consent for publication</w:t>
      </w:r>
    </w:p>
    <w:p w14:paraId="1E35A32B" w14:textId="77777777" w:rsidR="00A56823" w:rsidRPr="00D133C3" w:rsidRDefault="00A56823" w:rsidP="00A56823">
      <w:pPr>
        <w:widowControl w:val="0"/>
        <w:autoSpaceDE w:val="0"/>
        <w:autoSpaceDN w:val="0"/>
        <w:adjustRightInd w:val="0"/>
        <w:spacing w:after="0" w:line="238" w:lineRule="auto"/>
        <w:jc w:val="both"/>
        <w:rPr>
          <w:rFonts w:ascii="Times New Roman" w:hAnsi="Times New Roman" w:cs="Times New Roman"/>
          <w:bCs/>
          <w:color w:val="000000" w:themeColor="text1"/>
          <w:sz w:val="21"/>
          <w:szCs w:val="21"/>
        </w:rPr>
      </w:pPr>
      <w:r w:rsidRPr="00D133C3">
        <w:rPr>
          <w:rFonts w:ascii="Times New Roman" w:hAnsi="Times New Roman" w:cs="Times New Roman"/>
          <w:bCs/>
          <w:color w:val="000000" w:themeColor="text1"/>
          <w:sz w:val="21"/>
          <w:szCs w:val="21"/>
        </w:rPr>
        <w:t>All authors reviewed the results and approved the final version of the manuscript.</w:t>
      </w:r>
    </w:p>
    <w:p w14:paraId="0AC172CE" w14:textId="77777777" w:rsidR="00A56823" w:rsidRPr="00D133C3" w:rsidRDefault="00A56823" w:rsidP="00A56823">
      <w:pPr>
        <w:spacing w:after="0" w:line="240" w:lineRule="auto"/>
        <w:contextualSpacing/>
        <w:jc w:val="both"/>
        <w:rPr>
          <w:rFonts w:asciiTheme="majorBidi" w:hAnsiTheme="majorBidi" w:cstheme="majorBidi"/>
          <w:b/>
          <w:bCs/>
          <w:color w:val="000000" w:themeColor="text1"/>
          <w:sz w:val="24"/>
          <w:szCs w:val="24"/>
        </w:rPr>
      </w:pPr>
      <w:r w:rsidRPr="00D133C3">
        <w:rPr>
          <w:rFonts w:asciiTheme="majorBidi" w:hAnsiTheme="majorBidi" w:cstheme="majorBidi"/>
          <w:b/>
          <w:bCs/>
          <w:color w:val="000000" w:themeColor="text1"/>
          <w:sz w:val="24"/>
          <w:szCs w:val="24"/>
        </w:rPr>
        <w:t xml:space="preserve"> </w:t>
      </w:r>
    </w:p>
    <w:p w14:paraId="3A5DF592" w14:textId="77777777" w:rsidR="00A56823" w:rsidRPr="00D133C3" w:rsidRDefault="00A56823" w:rsidP="00A56823">
      <w:pPr>
        <w:spacing w:line="240" w:lineRule="auto"/>
        <w:contextualSpacing/>
        <w:rPr>
          <w:rFonts w:asciiTheme="majorBidi" w:hAnsiTheme="majorBidi" w:cstheme="majorBidi"/>
          <w:b/>
          <w:bCs/>
          <w:color w:val="000000" w:themeColor="text1"/>
          <w:sz w:val="24"/>
          <w:szCs w:val="24"/>
        </w:rPr>
      </w:pPr>
      <w:r w:rsidRPr="00D133C3">
        <w:rPr>
          <w:rFonts w:asciiTheme="majorBidi" w:hAnsiTheme="majorBidi" w:cstheme="majorBidi"/>
          <w:b/>
          <w:bCs/>
          <w:color w:val="000000" w:themeColor="text1"/>
          <w:sz w:val="24"/>
          <w:szCs w:val="24"/>
        </w:rPr>
        <w:t xml:space="preserve">Authors’ contributions </w:t>
      </w:r>
    </w:p>
    <w:p w14:paraId="798A54BA" w14:textId="12C477D6" w:rsidR="001A707C" w:rsidRPr="00D133C3" w:rsidRDefault="006A5348" w:rsidP="001A707C">
      <w:pPr>
        <w:spacing w:line="240" w:lineRule="auto"/>
        <w:contextualSpacing/>
        <w:jc w:val="both"/>
        <w:rPr>
          <w:rFonts w:ascii="Times New Roman" w:hAnsi="Times New Roman" w:cs="Times New Roman"/>
          <w:color w:val="000000" w:themeColor="text1"/>
          <w:sz w:val="24"/>
          <w:szCs w:val="24"/>
        </w:rPr>
      </w:pPr>
      <w:r w:rsidRPr="00D133C3">
        <w:rPr>
          <w:rFonts w:ascii="Times New Roman" w:hAnsi="Times New Roman" w:cs="Times New Roman"/>
          <w:color w:val="000000" w:themeColor="text1"/>
          <w:sz w:val="24"/>
          <w:szCs w:val="24"/>
        </w:rPr>
        <w:t xml:space="preserve">KOI: Supervision and Writing – Review and Editing; MAY: Investigation and Writing – Review and Editing; GIV: Investigation and Writing Original Draft; </w:t>
      </w:r>
      <w:r w:rsidR="001A707C" w:rsidRPr="00D133C3">
        <w:rPr>
          <w:rFonts w:ascii="Times New Roman" w:hAnsi="Times New Roman" w:cs="Times New Roman"/>
          <w:color w:val="000000" w:themeColor="text1"/>
          <w:sz w:val="24"/>
          <w:szCs w:val="24"/>
        </w:rPr>
        <w:t>KNS</w:t>
      </w:r>
      <w:r w:rsidR="00A56823" w:rsidRPr="00D133C3">
        <w:rPr>
          <w:rFonts w:ascii="Times New Roman" w:hAnsi="Times New Roman" w:cs="Times New Roman"/>
          <w:color w:val="000000" w:themeColor="text1"/>
          <w:sz w:val="24"/>
          <w:szCs w:val="24"/>
        </w:rPr>
        <w:t xml:space="preserve">: </w:t>
      </w:r>
      <w:r w:rsidR="001A707C" w:rsidRPr="00D133C3">
        <w:rPr>
          <w:rFonts w:ascii="Times New Roman" w:hAnsi="Times New Roman" w:cs="Times New Roman"/>
          <w:color w:val="000000" w:themeColor="text1"/>
          <w:sz w:val="24"/>
          <w:szCs w:val="24"/>
        </w:rPr>
        <w:t>Investigation and Writing Original Draft</w:t>
      </w:r>
      <w:r w:rsidR="00A56823" w:rsidRPr="00D133C3">
        <w:rPr>
          <w:rFonts w:ascii="Times New Roman" w:hAnsi="Times New Roman" w:cs="Times New Roman"/>
          <w:color w:val="000000" w:themeColor="text1"/>
          <w:sz w:val="24"/>
          <w:szCs w:val="24"/>
        </w:rPr>
        <w:t xml:space="preserve">; </w:t>
      </w:r>
      <w:r w:rsidR="00116893" w:rsidRPr="00D133C3">
        <w:rPr>
          <w:rFonts w:ascii="Times New Roman" w:hAnsi="Times New Roman" w:cs="Times New Roman"/>
          <w:color w:val="000000" w:themeColor="text1"/>
          <w:sz w:val="24"/>
          <w:szCs w:val="24"/>
        </w:rPr>
        <w:t xml:space="preserve">KIV: Investigation and Writing – Review and Editing; </w:t>
      </w:r>
      <w:r w:rsidR="00A656CB" w:rsidRPr="00D133C3">
        <w:rPr>
          <w:rFonts w:ascii="Times New Roman" w:hAnsi="Times New Roman" w:cs="Times New Roman"/>
          <w:color w:val="000000" w:themeColor="text1"/>
          <w:sz w:val="24"/>
          <w:szCs w:val="24"/>
        </w:rPr>
        <w:t xml:space="preserve">KDV: Investigation; SAB: Investigation; </w:t>
      </w:r>
      <w:r w:rsidR="001A707C" w:rsidRPr="00D133C3">
        <w:rPr>
          <w:rFonts w:ascii="Times New Roman" w:hAnsi="Times New Roman" w:cs="Times New Roman"/>
          <w:color w:val="000000" w:themeColor="text1"/>
          <w:sz w:val="24"/>
          <w:szCs w:val="24"/>
        </w:rPr>
        <w:t xml:space="preserve">GAV: Methodology and Investigation; </w:t>
      </w:r>
      <w:r w:rsidR="00A656CB" w:rsidRPr="00D133C3">
        <w:rPr>
          <w:rFonts w:ascii="Times New Roman" w:hAnsi="Times New Roman" w:cs="Times New Roman"/>
          <w:color w:val="000000" w:themeColor="text1"/>
          <w:sz w:val="24"/>
          <w:szCs w:val="24"/>
        </w:rPr>
        <w:t xml:space="preserve">SAA: Methodology and Investigation; </w:t>
      </w:r>
      <w:r w:rsidR="001A707C" w:rsidRPr="00D133C3">
        <w:rPr>
          <w:rFonts w:ascii="Times New Roman" w:hAnsi="Times New Roman" w:cs="Times New Roman"/>
          <w:color w:val="000000" w:themeColor="text1"/>
          <w:sz w:val="24"/>
          <w:szCs w:val="24"/>
        </w:rPr>
        <w:t xml:space="preserve">GSV: Formal Analysis; </w:t>
      </w:r>
      <w:r w:rsidR="00A656CB" w:rsidRPr="00D133C3">
        <w:rPr>
          <w:rFonts w:ascii="Times New Roman" w:hAnsi="Times New Roman" w:cs="Times New Roman"/>
          <w:color w:val="000000" w:themeColor="text1"/>
          <w:sz w:val="24"/>
          <w:szCs w:val="24"/>
        </w:rPr>
        <w:t xml:space="preserve">BES: Formal Analysis; </w:t>
      </w:r>
      <w:r w:rsidR="001A707C" w:rsidRPr="00D133C3">
        <w:rPr>
          <w:rFonts w:ascii="Times New Roman" w:hAnsi="Times New Roman" w:cs="Times New Roman"/>
          <w:color w:val="000000" w:themeColor="text1"/>
          <w:sz w:val="24"/>
          <w:szCs w:val="24"/>
        </w:rPr>
        <w:t>REE: Supervision and Writing – Review and Editing; SYA: Investigation and Writing Original Draft; GEA: Investigation and Writing – Review and Editing</w:t>
      </w:r>
    </w:p>
    <w:p w14:paraId="41A2A660" w14:textId="36208F11" w:rsidR="00A56823" w:rsidRPr="00D133C3" w:rsidRDefault="00A56823" w:rsidP="00A56823">
      <w:pPr>
        <w:spacing w:line="240" w:lineRule="auto"/>
        <w:contextualSpacing/>
        <w:jc w:val="both"/>
        <w:rPr>
          <w:rFonts w:asciiTheme="majorBidi" w:hAnsiTheme="majorBidi" w:cstheme="majorBidi"/>
          <w:color w:val="0000FF"/>
          <w:sz w:val="24"/>
          <w:szCs w:val="24"/>
        </w:rPr>
      </w:pPr>
    </w:p>
    <w:p w14:paraId="17D57D88" w14:textId="77777777" w:rsidR="00A56823" w:rsidRPr="00D133C3" w:rsidRDefault="00A56823" w:rsidP="00A56823">
      <w:pPr>
        <w:spacing w:line="240" w:lineRule="auto"/>
        <w:contextualSpacing/>
        <w:jc w:val="both"/>
        <w:rPr>
          <w:rFonts w:ascii="Times New Roman" w:hAnsi="Times New Roman" w:cs="Times New Roman"/>
          <w:color w:val="000000" w:themeColor="text1"/>
          <w:sz w:val="24"/>
          <w:szCs w:val="24"/>
        </w:rPr>
      </w:pPr>
    </w:p>
    <w:p w14:paraId="4C48FE1A" w14:textId="77777777" w:rsidR="00A56823" w:rsidRPr="00D133C3" w:rsidRDefault="00A56823" w:rsidP="00A56823">
      <w:pPr>
        <w:spacing w:line="240" w:lineRule="auto"/>
        <w:contextualSpacing/>
        <w:rPr>
          <w:rFonts w:asciiTheme="majorBidi" w:hAnsiTheme="majorBidi" w:cstheme="majorBidi"/>
          <w:b/>
          <w:bCs/>
          <w:color w:val="000000" w:themeColor="text1"/>
          <w:sz w:val="24"/>
          <w:szCs w:val="24"/>
        </w:rPr>
      </w:pPr>
      <w:r w:rsidRPr="00D133C3">
        <w:rPr>
          <w:rFonts w:asciiTheme="majorBidi" w:hAnsiTheme="majorBidi" w:cstheme="majorBidi"/>
          <w:b/>
          <w:bCs/>
          <w:color w:val="000000" w:themeColor="text1"/>
          <w:sz w:val="24"/>
          <w:szCs w:val="24"/>
        </w:rPr>
        <w:t xml:space="preserve">Data availability </w:t>
      </w:r>
    </w:p>
    <w:p w14:paraId="27490EA7" w14:textId="6F239964" w:rsidR="00A56823" w:rsidRPr="00D133C3" w:rsidRDefault="00A56823" w:rsidP="00A56823">
      <w:pPr>
        <w:spacing w:line="240" w:lineRule="auto"/>
        <w:contextualSpacing/>
        <w:jc w:val="both"/>
        <w:rPr>
          <w:rFonts w:asciiTheme="majorBidi" w:hAnsiTheme="majorBidi" w:cstheme="majorBidi"/>
          <w:color w:val="000000" w:themeColor="text1"/>
          <w:sz w:val="24"/>
          <w:szCs w:val="24"/>
        </w:rPr>
      </w:pPr>
      <w:r w:rsidRPr="00D133C3">
        <w:rPr>
          <w:rFonts w:asciiTheme="majorBidi" w:hAnsiTheme="majorBidi" w:cstheme="majorBidi"/>
          <w:color w:val="000000" w:themeColor="text1"/>
          <w:sz w:val="24"/>
          <w:szCs w:val="24"/>
        </w:rPr>
        <w:t xml:space="preserve">All relevant data can be found within the manuscript. </w:t>
      </w:r>
    </w:p>
    <w:p w14:paraId="0A298760" w14:textId="77777777" w:rsidR="00A56823" w:rsidRPr="00D133C3" w:rsidRDefault="00A56823" w:rsidP="00A56823">
      <w:pPr>
        <w:spacing w:after="0" w:line="240" w:lineRule="auto"/>
        <w:contextualSpacing/>
        <w:rPr>
          <w:rFonts w:asciiTheme="majorBidi" w:hAnsiTheme="majorBidi" w:cstheme="majorBidi"/>
          <w:b/>
          <w:bCs/>
          <w:color w:val="000000" w:themeColor="text1"/>
          <w:sz w:val="24"/>
          <w:szCs w:val="24"/>
        </w:rPr>
      </w:pPr>
      <w:r w:rsidRPr="00D133C3">
        <w:rPr>
          <w:rFonts w:asciiTheme="majorBidi" w:hAnsiTheme="majorBidi" w:cstheme="majorBidi"/>
          <w:b/>
          <w:bCs/>
          <w:color w:val="000000" w:themeColor="text1"/>
          <w:sz w:val="24"/>
          <w:szCs w:val="24"/>
        </w:rPr>
        <w:t xml:space="preserve">Competing interests </w:t>
      </w:r>
    </w:p>
    <w:p w14:paraId="763B276B" w14:textId="2E17D70A" w:rsidR="00A56823" w:rsidRPr="00D133C3" w:rsidRDefault="00A56823" w:rsidP="00A56823">
      <w:pPr>
        <w:spacing w:line="240" w:lineRule="auto"/>
        <w:contextualSpacing/>
        <w:jc w:val="both"/>
        <w:rPr>
          <w:rStyle w:val="af0"/>
          <w:rFonts w:asciiTheme="majorBidi" w:hAnsiTheme="majorBidi" w:cstheme="majorBidi"/>
          <w:color w:val="0000FF"/>
          <w:sz w:val="21"/>
          <w:szCs w:val="21"/>
        </w:rPr>
      </w:pPr>
      <w:r w:rsidRPr="00D133C3">
        <w:rPr>
          <w:rFonts w:asciiTheme="majorBidi" w:hAnsiTheme="majorBidi" w:cstheme="majorBidi"/>
          <w:color w:val="000000" w:themeColor="text1"/>
          <w:sz w:val="21"/>
          <w:szCs w:val="21"/>
        </w:rPr>
        <w:t xml:space="preserve">The authors declare that they have no competing interests. </w:t>
      </w:r>
    </w:p>
    <w:p w14:paraId="566420E4" w14:textId="77777777" w:rsidR="00A56823" w:rsidRPr="00D133C3" w:rsidRDefault="00A56823" w:rsidP="00A56823">
      <w:pPr>
        <w:spacing w:line="240" w:lineRule="auto"/>
        <w:contextualSpacing/>
        <w:jc w:val="both"/>
        <w:rPr>
          <w:rStyle w:val="af0"/>
          <w:rFonts w:asciiTheme="majorBidi" w:hAnsiTheme="majorBidi" w:cstheme="majorBidi"/>
          <w:color w:val="0000FF"/>
          <w:sz w:val="21"/>
          <w:szCs w:val="21"/>
        </w:rPr>
      </w:pPr>
    </w:p>
    <w:p w14:paraId="5A4EAFC1" w14:textId="77777777" w:rsidR="00A56823" w:rsidRPr="00D133C3" w:rsidRDefault="00A56823" w:rsidP="00A56823">
      <w:pPr>
        <w:spacing w:line="240" w:lineRule="auto"/>
        <w:contextualSpacing/>
        <w:rPr>
          <w:rFonts w:asciiTheme="majorBidi" w:hAnsiTheme="majorBidi" w:cstheme="majorBidi"/>
          <w:b/>
          <w:bCs/>
          <w:color w:val="000000" w:themeColor="text1"/>
          <w:sz w:val="24"/>
          <w:szCs w:val="24"/>
        </w:rPr>
      </w:pPr>
      <w:r w:rsidRPr="00D133C3">
        <w:rPr>
          <w:rFonts w:asciiTheme="majorBidi" w:hAnsiTheme="majorBidi" w:cstheme="majorBidi"/>
          <w:b/>
          <w:bCs/>
          <w:color w:val="000000" w:themeColor="text1"/>
          <w:sz w:val="24"/>
          <w:szCs w:val="24"/>
        </w:rPr>
        <w:t xml:space="preserve">Funding </w:t>
      </w:r>
    </w:p>
    <w:p w14:paraId="3175009F" w14:textId="4139EC20" w:rsidR="001A707C" w:rsidRPr="00D133C3" w:rsidRDefault="001A707C" w:rsidP="00A56823">
      <w:pPr>
        <w:spacing w:line="240" w:lineRule="auto"/>
        <w:contextualSpacing/>
        <w:jc w:val="both"/>
        <w:rPr>
          <w:rFonts w:asciiTheme="majorBidi" w:hAnsiTheme="majorBidi" w:cstheme="majorBidi"/>
          <w:bCs/>
          <w:sz w:val="24"/>
          <w:szCs w:val="24"/>
        </w:rPr>
      </w:pPr>
      <w:r w:rsidRPr="00D133C3">
        <w:rPr>
          <w:rFonts w:asciiTheme="majorBidi" w:hAnsiTheme="majorBidi" w:cstheme="majorBidi"/>
          <w:bCs/>
          <w:sz w:val="24"/>
          <w:szCs w:val="24"/>
        </w:rPr>
        <w:t xml:space="preserve">The study was carried out with the financial support of the state assignment "Search for natural and synthetic secondary plant metabolites with antitumor and </w:t>
      </w:r>
      <w:proofErr w:type="spellStart"/>
      <w:r w:rsidRPr="00D133C3">
        <w:rPr>
          <w:rFonts w:asciiTheme="majorBidi" w:hAnsiTheme="majorBidi" w:cstheme="majorBidi"/>
          <w:bCs/>
          <w:sz w:val="24"/>
          <w:szCs w:val="24"/>
        </w:rPr>
        <w:t>immunocorrective</w:t>
      </w:r>
      <w:proofErr w:type="spellEnd"/>
      <w:r w:rsidRPr="00D133C3">
        <w:rPr>
          <w:rFonts w:asciiTheme="majorBidi" w:hAnsiTheme="majorBidi" w:cstheme="majorBidi"/>
          <w:bCs/>
          <w:sz w:val="24"/>
          <w:szCs w:val="24"/>
        </w:rPr>
        <w:t xml:space="preserve"> properties in in vitro and in vivo models", registration number 124022100044-2 from 2024.</w:t>
      </w:r>
    </w:p>
    <w:p w14:paraId="24C46D21" w14:textId="77777777" w:rsidR="00A56823" w:rsidRPr="00D133C3" w:rsidRDefault="00A56823" w:rsidP="00A56823">
      <w:pPr>
        <w:spacing w:line="240" w:lineRule="auto"/>
        <w:contextualSpacing/>
        <w:rPr>
          <w:rFonts w:asciiTheme="majorBidi" w:hAnsiTheme="majorBidi" w:cstheme="majorBidi"/>
          <w:color w:val="000000" w:themeColor="text1"/>
          <w:sz w:val="24"/>
          <w:szCs w:val="24"/>
        </w:rPr>
      </w:pPr>
      <w:r w:rsidRPr="00D133C3">
        <w:rPr>
          <w:rFonts w:asciiTheme="majorBidi" w:hAnsiTheme="majorBidi" w:cstheme="majorBidi"/>
          <w:b/>
          <w:bCs/>
          <w:color w:val="000000" w:themeColor="text1"/>
          <w:sz w:val="24"/>
          <w:szCs w:val="24"/>
        </w:rPr>
        <w:t>Supplementary Information</w:t>
      </w:r>
      <w:r w:rsidRPr="00D133C3">
        <w:rPr>
          <w:rFonts w:asciiTheme="majorBidi" w:hAnsiTheme="majorBidi" w:cstheme="majorBidi"/>
          <w:color w:val="000000" w:themeColor="text1"/>
          <w:sz w:val="24"/>
          <w:szCs w:val="24"/>
        </w:rPr>
        <w:t xml:space="preserve"> The online version contains supplementary material.</w:t>
      </w:r>
    </w:p>
    <w:p w14:paraId="1E9B55EB" w14:textId="77777777" w:rsidR="00A56823" w:rsidRPr="00D133C3" w:rsidRDefault="00A56823" w:rsidP="00A56823">
      <w:pPr>
        <w:spacing w:after="0" w:line="240" w:lineRule="auto"/>
        <w:contextualSpacing/>
        <w:rPr>
          <w:rFonts w:asciiTheme="majorBidi" w:hAnsiTheme="majorBidi" w:cstheme="majorBidi"/>
          <w:color w:val="0000FF"/>
          <w:sz w:val="21"/>
          <w:szCs w:val="21"/>
        </w:rPr>
      </w:pPr>
    </w:p>
    <w:p w14:paraId="483BE46C" w14:textId="77777777" w:rsidR="00A56823" w:rsidRPr="00D133C3" w:rsidRDefault="00A56823" w:rsidP="00A56823">
      <w:pPr>
        <w:spacing w:after="0" w:line="240" w:lineRule="auto"/>
        <w:contextualSpacing/>
        <w:rPr>
          <w:rFonts w:asciiTheme="majorBidi" w:hAnsiTheme="majorBidi" w:cstheme="majorBidi"/>
          <w:color w:val="000000" w:themeColor="text1"/>
          <w:sz w:val="21"/>
          <w:szCs w:val="21"/>
        </w:rPr>
      </w:pPr>
    </w:p>
    <w:p w14:paraId="3CB6EB16" w14:textId="77777777" w:rsidR="00A56823" w:rsidRPr="00D133C3" w:rsidRDefault="00A56823" w:rsidP="00A56823">
      <w:pPr>
        <w:widowControl w:val="0"/>
        <w:autoSpaceDE w:val="0"/>
        <w:autoSpaceDN w:val="0"/>
        <w:adjustRightInd w:val="0"/>
        <w:spacing w:after="0" w:line="240" w:lineRule="auto"/>
        <w:jc w:val="center"/>
        <w:rPr>
          <w:rFonts w:ascii="Times New Roman" w:hAnsi="Times New Roman" w:cs="Times New Roman"/>
          <w:b/>
          <w:color w:val="000000" w:themeColor="text1"/>
          <w:sz w:val="21"/>
          <w:szCs w:val="21"/>
        </w:rPr>
      </w:pPr>
    </w:p>
    <w:p w14:paraId="50657B64" w14:textId="77777777" w:rsidR="00A56823" w:rsidRPr="00D133C3" w:rsidRDefault="00A56823" w:rsidP="00A56823">
      <w:pPr>
        <w:pStyle w:val="af3"/>
        <w:rPr>
          <w:rFonts w:ascii="Times New Roman" w:hAnsi="Times New Roman" w:cs="Times New Roman"/>
          <w:b/>
          <w:bCs/>
          <w:color w:val="000000" w:themeColor="text1"/>
        </w:rPr>
      </w:pPr>
      <w:r w:rsidRPr="00D133C3">
        <w:rPr>
          <w:rFonts w:ascii="Times New Roman" w:hAnsi="Times New Roman" w:cs="Times New Roman"/>
          <w:b/>
          <w:bCs/>
          <w:color w:val="000000" w:themeColor="text1"/>
        </w:rPr>
        <w:t xml:space="preserve">List of Abbreviations </w:t>
      </w:r>
      <w:r w:rsidRPr="00D133C3">
        <w:rPr>
          <w:rFonts w:ascii="Times New Roman" w:hAnsi="Times New Roman" w:cs="Times New Roman"/>
          <w:b/>
          <w:bCs/>
          <w:color w:val="C00000"/>
        </w:rPr>
        <w:t>(Should be in alphabetical order)</w:t>
      </w:r>
      <w:r w:rsidRPr="00D133C3">
        <w:rPr>
          <w:rFonts w:ascii="Times New Roman" w:hAnsi="Times New Roman" w:cs="Times New Roman"/>
          <w:b/>
          <w:bCs/>
          <w:color w:val="000000" w:themeColor="text1"/>
        </w:rPr>
        <w:t xml:space="preserve">: </w:t>
      </w:r>
    </w:p>
    <w:p w14:paraId="60CDB442" w14:textId="66F92423" w:rsidR="007352C3" w:rsidRPr="00D133C3" w:rsidRDefault="007352C3" w:rsidP="007352C3">
      <w:pPr>
        <w:pStyle w:val="af3"/>
        <w:jc w:val="both"/>
        <w:rPr>
          <w:rFonts w:ascii="Times New Roman" w:hAnsi="Times New Roman" w:cs="Times New Roman"/>
          <w:b/>
          <w:color w:val="000000" w:themeColor="text1"/>
        </w:rPr>
      </w:pPr>
      <w:r w:rsidRPr="00D133C3">
        <w:rPr>
          <w:rFonts w:ascii="Times New Roman" w:hAnsi="Times New Roman" w:cs="Times New Roman"/>
          <w:b/>
          <w:color w:val="000000" w:themeColor="text1"/>
        </w:rPr>
        <w:t xml:space="preserve">3′-UTR: </w:t>
      </w:r>
      <w:r w:rsidRPr="00D133C3">
        <w:rPr>
          <w:rFonts w:ascii="Times New Roman" w:hAnsi="Times New Roman" w:cs="Times New Roman"/>
          <w:color w:val="000000" w:themeColor="text1"/>
        </w:rPr>
        <w:t>3′-untranslated region</w:t>
      </w:r>
    </w:p>
    <w:p w14:paraId="4E893F1D" w14:textId="77777777" w:rsidR="007352C3" w:rsidRPr="00D133C3" w:rsidRDefault="007352C3" w:rsidP="00D345F4">
      <w:pPr>
        <w:pStyle w:val="af3"/>
        <w:jc w:val="both"/>
        <w:rPr>
          <w:rFonts w:ascii="Times New Roman" w:hAnsi="Times New Roman" w:cs="Times New Roman"/>
          <w:color w:val="000000" w:themeColor="text1"/>
        </w:rPr>
      </w:pPr>
      <w:r w:rsidRPr="00D133C3">
        <w:rPr>
          <w:rFonts w:ascii="Times New Roman" w:hAnsi="Times New Roman" w:cs="Times New Roman"/>
          <w:b/>
          <w:color w:val="000000" w:themeColor="text1"/>
        </w:rPr>
        <w:lastRenderedPageBreak/>
        <w:t>ACTB:</w:t>
      </w:r>
      <w:r w:rsidRPr="00D133C3">
        <w:rPr>
          <w:rFonts w:ascii="Times New Roman" w:hAnsi="Times New Roman" w:cs="Times New Roman"/>
          <w:color w:val="000000" w:themeColor="text1"/>
        </w:rPr>
        <w:t xml:space="preserve"> beta-actin</w:t>
      </w:r>
    </w:p>
    <w:p w14:paraId="02470E09" w14:textId="77777777" w:rsidR="007352C3" w:rsidRPr="00D133C3" w:rsidRDefault="007352C3" w:rsidP="00D345F4">
      <w:pPr>
        <w:pStyle w:val="af3"/>
        <w:jc w:val="both"/>
        <w:rPr>
          <w:rFonts w:ascii="Times New Roman" w:hAnsi="Times New Roman" w:cs="Times New Roman"/>
          <w:color w:val="000000" w:themeColor="text1"/>
        </w:rPr>
      </w:pPr>
      <w:proofErr w:type="spellStart"/>
      <w:r w:rsidRPr="00D133C3">
        <w:rPr>
          <w:rFonts w:ascii="Times New Roman" w:hAnsi="Times New Roman" w:cs="Times New Roman"/>
          <w:b/>
          <w:color w:val="000000" w:themeColor="text1"/>
        </w:rPr>
        <w:t>Bax</w:t>
      </w:r>
      <w:proofErr w:type="spellEnd"/>
      <w:r w:rsidRPr="00D133C3">
        <w:rPr>
          <w:rFonts w:ascii="Times New Roman" w:hAnsi="Times New Roman" w:cs="Times New Roman"/>
          <w:b/>
          <w:color w:val="000000" w:themeColor="text1"/>
        </w:rPr>
        <w:t>:</w:t>
      </w:r>
      <w:r w:rsidRPr="00D133C3">
        <w:rPr>
          <w:rFonts w:ascii="Times New Roman" w:hAnsi="Times New Roman" w:cs="Times New Roman"/>
          <w:color w:val="000000" w:themeColor="text1"/>
        </w:rPr>
        <w:t xml:space="preserve"> Bcl-2-associated X protein</w:t>
      </w:r>
    </w:p>
    <w:p w14:paraId="7AF22238" w14:textId="77777777" w:rsidR="007352C3" w:rsidRPr="00D133C3" w:rsidRDefault="007352C3" w:rsidP="00D345F4">
      <w:pPr>
        <w:pStyle w:val="af3"/>
        <w:jc w:val="both"/>
        <w:rPr>
          <w:rFonts w:ascii="Times New Roman" w:hAnsi="Times New Roman" w:cs="Times New Roman"/>
          <w:color w:val="000000" w:themeColor="text1"/>
        </w:rPr>
      </w:pPr>
      <w:r w:rsidRPr="00D133C3">
        <w:rPr>
          <w:rFonts w:ascii="Times New Roman" w:hAnsi="Times New Roman" w:cs="Times New Roman"/>
          <w:b/>
          <w:color w:val="000000" w:themeColor="text1"/>
        </w:rPr>
        <w:t>Bcl-2:</w:t>
      </w:r>
      <w:r w:rsidRPr="00D133C3">
        <w:rPr>
          <w:rFonts w:ascii="Times New Roman" w:hAnsi="Times New Roman" w:cs="Times New Roman"/>
          <w:color w:val="000000" w:themeColor="text1"/>
        </w:rPr>
        <w:t xml:space="preserve"> B-cell lymphoma 2</w:t>
      </w:r>
    </w:p>
    <w:p w14:paraId="3617ABF8" w14:textId="77777777" w:rsidR="007352C3" w:rsidRPr="00D133C3" w:rsidRDefault="007352C3" w:rsidP="00D345F4">
      <w:pPr>
        <w:pStyle w:val="af3"/>
        <w:jc w:val="both"/>
        <w:rPr>
          <w:rFonts w:ascii="Times New Roman" w:hAnsi="Times New Roman" w:cs="Times New Roman"/>
          <w:color w:val="000000" w:themeColor="text1"/>
        </w:rPr>
      </w:pPr>
      <w:r w:rsidRPr="00D133C3">
        <w:rPr>
          <w:rFonts w:ascii="Times New Roman" w:hAnsi="Times New Roman" w:cs="Times New Roman"/>
          <w:b/>
          <w:color w:val="000000" w:themeColor="text1"/>
        </w:rPr>
        <w:t>CASP9:</w:t>
      </w:r>
      <w:r w:rsidRPr="00D133C3">
        <w:rPr>
          <w:rFonts w:ascii="Times New Roman" w:hAnsi="Times New Roman" w:cs="Times New Roman"/>
          <w:color w:val="000000" w:themeColor="text1"/>
        </w:rPr>
        <w:t xml:space="preserve"> caspase-9</w:t>
      </w:r>
    </w:p>
    <w:p w14:paraId="452D099B" w14:textId="77777777" w:rsidR="007352C3" w:rsidRPr="00D133C3" w:rsidRDefault="007352C3" w:rsidP="00D345F4">
      <w:pPr>
        <w:pStyle w:val="af3"/>
        <w:jc w:val="both"/>
        <w:rPr>
          <w:rFonts w:ascii="Times New Roman" w:hAnsi="Times New Roman" w:cs="Times New Roman"/>
          <w:color w:val="000000" w:themeColor="text1"/>
        </w:rPr>
      </w:pPr>
      <w:r w:rsidRPr="00D133C3">
        <w:rPr>
          <w:rFonts w:ascii="Times New Roman" w:hAnsi="Times New Roman" w:cs="Times New Roman"/>
          <w:b/>
          <w:color w:val="000000" w:themeColor="text1"/>
        </w:rPr>
        <w:t>cDNA</w:t>
      </w:r>
      <w:r w:rsidRPr="00D133C3">
        <w:rPr>
          <w:rFonts w:ascii="Times New Roman" w:hAnsi="Times New Roman" w:cs="Times New Roman"/>
          <w:color w:val="000000" w:themeColor="text1"/>
        </w:rPr>
        <w:t>: complementary DNA</w:t>
      </w:r>
    </w:p>
    <w:p w14:paraId="6BD66835" w14:textId="29886979" w:rsidR="007352C3" w:rsidRPr="00D133C3" w:rsidRDefault="007352C3" w:rsidP="007352C3">
      <w:pPr>
        <w:pStyle w:val="af3"/>
        <w:jc w:val="both"/>
        <w:rPr>
          <w:rFonts w:ascii="Times New Roman" w:hAnsi="Times New Roman" w:cs="Times New Roman"/>
          <w:b/>
          <w:color w:val="000000" w:themeColor="text1"/>
        </w:rPr>
      </w:pPr>
      <w:r w:rsidRPr="00D133C3">
        <w:rPr>
          <w:rFonts w:ascii="Times New Roman" w:hAnsi="Times New Roman" w:cs="Times New Roman"/>
          <w:b/>
          <w:color w:val="000000" w:themeColor="text1"/>
        </w:rPr>
        <w:t xml:space="preserve">CNS: </w:t>
      </w:r>
      <w:r w:rsidRPr="00D133C3">
        <w:rPr>
          <w:rFonts w:ascii="Times New Roman" w:hAnsi="Times New Roman" w:cs="Times New Roman"/>
          <w:color w:val="000000" w:themeColor="text1"/>
        </w:rPr>
        <w:t>central nervous system</w:t>
      </w:r>
      <w:r w:rsidRPr="00D133C3">
        <w:rPr>
          <w:rFonts w:ascii="Times New Roman" w:hAnsi="Times New Roman" w:cs="Times New Roman"/>
          <w:b/>
          <w:color w:val="000000" w:themeColor="text1"/>
        </w:rPr>
        <w:t xml:space="preserve"> </w:t>
      </w:r>
    </w:p>
    <w:p w14:paraId="1B689E7C" w14:textId="77777777" w:rsidR="007352C3" w:rsidRPr="00D133C3" w:rsidRDefault="007352C3" w:rsidP="00D345F4">
      <w:pPr>
        <w:pStyle w:val="af3"/>
        <w:jc w:val="both"/>
        <w:rPr>
          <w:rFonts w:ascii="Times New Roman" w:hAnsi="Times New Roman" w:cs="Times New Roman"/>
          <w:color w:val="000000" w:themeColor="text1"/>
        </w:rPr>
      </w:pPr>
      <w:r w:rsidRPr="00D133C3">
        <w:rPr>
          <w:rFonts w:ascii="Times New Roman" w:hAnsi="Times New Roman" w:cs="Times New Roman"/>
          <w:b/>
          <w:color w:val="000000" w:themeColor="text1"/>
        </w:rPr>
        <w:t>DMSO:</w:t>
      </w:r>
      <w:r w:rsidRPr="00D133C3">
        <w:rPr>
          <w:rFonts w:ascii="Times New Roman" w:hAnsi="Times New Roman" w:cs="Times New Roman"/>
          <w:color w:val="000000" w:themeColor="text1"/>
        </w:rPr>
        <w:t xml:space="preserve"> dimethyl sulfoxide</w:t>
      </w:r>
    </w:p>
    <w:p w14:paraId="1794BDD0" w14:textId="77777777" w:rsidR="007352C3" w:rsidRPr="00D133C3" w:rsidRDefault="007352C3" w:rsidP="00D345F4">
      <w:pPr>
        <w:pStyle w:val="af3"/>
        <w:jc w:val="both"/>
        <w:rPr>
          <w:rFonts w:ascii="Times New Roman" w:hAnsi="Times New Roman" w:cs="Times New Roman"/>
          <w:color w:val="000000" w:themeColor="text1"/>
        </w:rPr>
      </w:pPr>
      <w:r w:rsidRPr="00D133C3">
        <w:rPr>
          <w:rFonts w:ascii="Times New Roman" w:hAnsi="Times New Roman" w:cs="Times New Roman"/>
          <w:b/>
          <w:color w:val="000000" w:themeColor="text1"/>
        </w:rPr>
        <w:t>ELISA:</w:t>
      </w:r>
      <w:r w:rsidRPr="00D133C3">
        <w:rPr>
          <w:rFonts w:ascii="Times New Roman" w:hAnsi="Times New Roman" w:cs="Times New Roman"/>
          <w:color w:val="000000" w:themeColor="text1"/>
        </w:rPr>
        <w:t xml:space="preserve"> enzyme-linked immunosorbent assay</w:t>
      </w:r>
    </w:p>
    <w:p w14:paraId="404281F8" w14:textId="77777777" w:rsidR="007352C3" w:rsidRPr="00D133C3" w:rsidRDefault="007352C3" w:rsidP="00D345F4">
      <w:pPr>
        <w:pStyle w:val="af3"/>
        <w:jc w:val="both"/>
        <w:rPr>
          <w:rFonts w:ascii="Times New Roman" w:hAnsi="Times New Roman" w:cs="Times New Roman"/>
          <w:color w:val="000000" w:themeColor="text1"/>
        </w:rPr>
      </w:pPr>
      <w:r w:rsidRPr="00D133C3">
        <w:rPr>
          <w:rFonts w:ascii="Times New Roman" w:hAnsi="Times New Roman" w:cs="Times New Roman"/>
          <w:b/>
          <w:color w:val="000000" w:themeColor="text1"/>
        </w:rPr>
        <w:t>FBS:</w:t>
      </w:r>
      <w:r w:rsidRPr="00D133C3">
        <w:rPr>
          <w:rFonts w:ascii="Times New Roman" w:hAnsi="Times New Roman" w:cs="Times New Roman"/>
          <w:color w:val="000000" w:themeColor="text1"/>
        </w:rPr>
        <w:t xml:space="preserve"> fetal bovine serum</w:t>
      </w:r>
    </w:p>
    <w:p w14:paraId="5280E3C7" w14:textId="77777777" w:rsidR="007352C3" w:rsidRPr="00D133C3" w:rsidRDefault="007352C3" w:rsidP="00D345F4">
      <w:pPr>
        <w:pStyle w:val="af3"/>
        <w:jc w:val="both"/>
        <w:rPr>
          <w:rFonts w:ascii="Times New Roman" w:hAnsi="Times New Roman" w:cs="Times New Roman"/>
          <w:color w:val="000000" w:themeColor="text1"/>
        </w:rPr>
      </w:pPr>
      <w:r w:rsidRPr="00D133C3">
        <w:rPr>
          <w:rFonts w:ascii="Times New Roman" w:hAnsi="Times New Roman" w:cs="Times New Roman"/>
          <w:b/>
          <w:color w:val="000000" w:themeColor="text1"/>
        </w:rPr>
        <w:t>GBM:</w:t>
      </w:r>
      <w:r w:rsidRPr="00D133C3">
        <w:rPr>
          <w:rFonts w:ascii="Times New Roman" w:hAnsi="Times New Roman" w:cs="Times New Roman"/>
          <w:color w:val="000000" w:themeColor="text1"/>
        </w:rPr>
        <w:t xml:space="preserve"> glioblastoma</w:t>
      </w:r>
    </w:p>
    <w:p w14:paraId="35AF3D95" w14:textId="77777777" w:rsidR="007352C3" w:rsidRPr="00D133C3" w:rsidRDefault="007352C3" w:rsidP="00D345F4">
      <w:pPr>
        <w:pStyle w:val="af3"/>
        <w:jc w:val="both"/>
        <w:rPr>
          <w:rFonts w:ascii="Times New Roman" w:hAnsi="Times New Roman" w:cs="Times New Roman"/>
          <w:color w:val="000000" w:themeColor="text1"/>
        </w:rPr>
      </w:pPr>
      <w:r w:rsidRPr="00D133C3">
        <w:rPr>
          <w:rFonts w:ascii="Times New Roman" w:hAnsi="Times New Roman" w:cs="Times New Roman"/>
          <w:b/>
          <w:color w:val="000000" w:themeColor="text1"/>
        </w:rPr>
        <w:t>HDAC:</w:t>
      </w:r>
      <w:r w:rsidRPr="00D133C3">
        <w:rPr>
          <w:rFonts w:ascii="Times New Roman" w:hAnsi="Times New Roman" w:cs="Times New Roman"/>
          <w:color w:val="000000" w:themeColor="text1"/>
        </w:rPr>
        <w:t xml:space="preserve"> histone deacetylase</w:t>
      </w:r>
    </w:p>
    <w:p w14:paraId="1EDA5360" w14:textId="77777777" w:rsidR="007352C3" w:rsidRPr="00D133C3" w:rsidRDefault="007352C3" w:rsidP="00D345F4">
      <w:pPr>
        <w:pStyle w:val="af3"/>
        <w:jc w:val="both"/>
        <w:rPr>
          <w:rFonts w:ascii="Times New Roman" w:hAnsi="Times New Roman" w:cs="Times New Roman"/>
          <w:color w:val="000000" w:themeColor="text1"/>
        </w:rPr>
      </w:pPr>
      <w:r w:rsidRPr="00D133C3">
        <w:rPr>
          <w:rFonts w:ascii="Times New Roman" w:hAnsi="Times New Roman" w:cs="Times New Roman"/>
          <w:b/>
          <w:color w:val="000000" w:themeColor="text1"/>
        </w:rPr>
        <w:t>IVC:</w:t>
      </w:r>
      <w:r w:rsidRPr="00D133C3">
        <w:rPr>
          <w:rFonts w:ascii="Times New Roman" w:hAnsi="Times New Roman" w:cs="Times New Roman"/>
          <w:color w:val="000000" w:themeColor="text1"/>
        </w:rPr>
        <w:t xml:space="preserve"> individually ventilated cage</w:t>
      </w:r>
    </w:p>
    <w:p w14:paraId="38BD3FF9" w14:textId="77777777" w:rsidR="007352C3" w:rsidRPr="00D133C3" w:rsidRDefault="007352C3" w:rsidP="00D345F4">
      <w:pPr>
        <w:pStyle w:val="af3"/>
        <w:jc w:val="both"/>
        <w:rPr>
          <w:rFonts w:ascii="Times New Roman" w:hAnsi="Times New Roman" w:cs="Times New Roman"/>
          <w:color w:val="000000" w:themeColor="text1"/>
        </w:rPr>
      </w:pPr>
      <w:r w:rsidRPr="00D133C3">
        <w:rPr>
          <w:rFonts w:ascii="Times New Roman" w:hAnsi="Times New Roman" w:cs="Times New Roman"/>
          <w:b/>
          <w:color w:val="000000" w:themeColor="text1"/>
        </w:rPr>
        <w:t>MDM2:</w:t>
      </w:r>
      <w:r w:rsidRPr="00D133C3">
        <w:rPr>
          <w:rFonts w:ascii="Times New Roman" w:hAnsi="Times New Roman" w:cs="Times New Roman"/>
          <w:color w:val="000000" w:themeColor="text1"/>
        </w:rPr>
        <w:t xml:space="preserve"> mouse double minute 2 homolog</w:t>
      </w:r>
    </w:p>
    <w:p w14:paraId="4F4C12D7" w14:textId="0F228BDF" w:rsidR="007352C3" w:rsidRPr="00D133C3" w:rsidRDefault="007352C3" w:rsidP="00D345F4">
      <w:pPr>
        <w:pStyle w:val="af3"/>
        <w:jc w:val="both"/>
        <w:rPr>
          <w:rFonts w:ascii="Times New Roman" w:hAnsi="Times New Roman" w:cs="Times New Roman"/>
          <w:b/>
          <w:color w:val="000000" w:themeColor="text1"/>
        </w:rPr>
      </w:pPr>
      <w:r w:rsidRPr="00D133C3">
        <w:rPr>
          <w:rFonts w:ascii="Times New Roman" w:hAnsi="Times New Roman" w:cs="Times New Roman"/>
          <w:b/>
          <w:color w:val="000000" w:themeColor="text1"/>
        </w:rPr>
        <w:t xml:space="preserve">MMPs: </w:t>
      </w:r>
      <w:r w:rsidRPr="00D133C3">
        <w:rPr>
          <w:rFonts w:ascii="Times New Roman" w:hAnsi="Times New Roman" w:cs="Times New Roman"/>
          <w:bCs/>
          <w:color w:val="000000" w:themeColor="text1"/>
        </w:rPr>
        <w:t xml:space="preserve">matrix </w:t>
      </w:r>
      <w:proofErr w:type="spellStart"/>
      <w:r w:rsidRPr="00D133C3">
        <w:rPr>
          <w:rFonts w:ascii="Times New Roman" w:hAnsi="Times New Roman" w:cs="Times New Roman"/>
          <w:bCs/>
          <w:color w:val="000000" w:themeColor="text1"/>
        </w:rPr>
        <w:t>metalloproteinases</w:t>
      </w:r>
      <w:proofErr w:type="spellEnd"/>
    </w:p>
    <w:p w14:paraId="347BA4B6" w14:textId="77777777" w:rsidR="007352C3" w:rsidRPr="00D133C3" w:rsidRDefault="007352C3" w:rsidP="00D345F4">
      <w:pPr>
        <w:pStyle w:val="af3"/>
        <w:jc w:val="both"/>
        <w:rPr>
          <w:rFonts w:ascii="Times New Roman" w:hAnsi="Times New Roman" w:cs="Times New Roman"/>
          <w:color w:val="000000" w:themeColor="text1"/>
        </w:rPr>
      </w:pPr>
      <w:r w:rsidRPr="00D133C3">
        <w:rPr>
          <w:rFonts w:ascii="Times New Roman" w:hAnsi="Times New Roman" w:cs="Times New Roman"/>
          <w:b/>
          <w:color w:val="000000" w:themeColor="text1"/>
        </w:rPr>
        <w:t>mRNA:</w:t>
      </w:r>
      <w:r w:rsidRPr="00D133C3">
        <w:rPr>
          <w:rFonts w:ascii="Times New Roman" w:hAnsi="Times New Roman" w:cs="Times New Roman"/>
          <w:color w:val="000000" w:themeColor="text1"/>
        </w:rPr>
        <w:t xml:space="preserve"> messenger RNA</w:t>
      </w:r>
    </w:p>
    <w:p w14:paraId="066AB575" w14:textId="77777777" w:rsidR="007352C3" w:rsidRPr="00D133C3" w:rsidRDefault="007352C3" w:rsidP="00D345F4">
      <w:pPr>
        <w:pStyle w:val="af3"/>
        <w:jc w:val="both"/>
        <w:rPr>
          <w:rFonts w:ascii="Times New Roman" w:hAnsi="Times New Roman" w:cs="Times New Roman"/>
          <w:color w:val="000000" w:themeColor="text1"/>
        </w:rPr>
      </w:pPr>
      <w:r w:rsidRPr="00D133C3">
        <w:rPr>
          <w:rFonts w:ascii="Times New Roman" w:hAnsi="Times New Roman" w:cs="Times New Roman"/>
          <w:b/>
          <w:color w:val="000000" w:themeColor="text1"/>
        </w:rPr>
        <w:t>NF-</w:t>
      </w:r>
      <w:proofErr w:type="spellStart"/>
      <w:r w:rsidRPr="00D133C3">
        <w:rPr>
          <w:rFonts w:ascii="Times New Roman" w:hAnsi="Times New Roman" w:cs="Times New Roman"/>
          <w:b/>
          <w:color w:val="000000" w:themeColor="text1"/>
        </w:rPr>
        <w:t>κB</w:t>
      </w:r>
      <w:proofErr w:type="spellEnd"/>
      <w:r w:rsidRPr="00D133C3">
        <w:rPr>
          <w:rFonts w:ascii="Times New Roman" w:hAnsi="Times New Roman" w:cs="Times New Roman"/>
          <w:b/>
          <w:color w:val="000000" w:themeColor="text1"/>
        </w:rPr>
        <w:t>:</w:t>
      </w:r>
      <w:r w:rsidRPr="00D133C3">
        <w:rPr>
          <w:rFonts w:ascii="Times New Roman" w:hAnsi="Times New Roman" w:cs="Times New Roman"/>
          <w:color w:val="000000" w:themeColor="text1"/>
        </w:rPr>
        <w:t xml:space="preserve"> nuclear factor kappa-light-chain-enhancer of activated B cells</w:t>
      </w:r>
    </w:p>
    <w:p w14:paraId="46C00D17" w14:textId="77777777" w:rsidR="007352C3" w:rsidRPr="00D133C3" w:rsidRDefault="007352C3" w:rsidP="00D345F4">
      <w:pPr>
        <w:pStyle w:val="af3"/>
        <w:jc w:val="both"/>
        <w:rPr>
          <w:rFonts w:ascii="Times New Roman" w:hAnsi="Times New Roman" w:cs="Times New Roman"/>
          <w:color w:val="000000" w:themeColor="text1"/>
        </w:rPr>
      </w:pPr>
      <w:r w:rsidRPr="00D133C3">
        <w:rPr>
          <w:rFonts w:ascii="Times New Roman" w:hAnsi="Times New Roman" w:cs="Times New Roman"/>
          <w:b/>
          <w:color w:val="000000" w:themeColor="text1"/>
        </w:rPr>
        <w:t>PDX:</w:t>
      </w:r>
      <w:r w:rsidRPr="00D133C3">
        <w:rPr>
          <w:rFonts w:ascii="Times New Roman" w:hAnsi="Times New Roman" w:cs="Times New Roman"/>
          <w:color w:val="000000" w:themeColor="text1"/>
        </w:rPr>
        <w:t xml:space="preserve"> patient-derived xenograft</w:t>
      </w:r>
    </w:p>
    <w:p w14:paraId="50C2FF0D" w14:textId="77777777" w:rsidR="007352C3" w:rsidRPr="00D133C3" w:rsidRDefault="007352C3" w:rsidP="00D345F4">
      <w:pPr>
        <w:pStyle w:val="af3"/>
        <w:jc w:val="both"/>
        <w:rPr>
          <w:rFonts w:ascii="Times New Roman" w:hAnsi="Times New Roman" w:cs="Times New Roman"/>
          <w:color w:val="000000" w:themeColor="text1"/>
        </w:rPr>
      </w:pPr>
      <w:r w:rsidRPr="00D133C3">
        <w:rPr>
          <w:rFonts w:ascii="Times New Roman" w:hAnsi="Times New Roman" w:cs="Times New Roman"/>
          <w:b/>
          <w:color w:val="000000" w:themeColor="text1"/>
        </w:rPr>
        <w:t>RNA</w:t>
      </w:r>
      <w:r w:rsidRPr="00D133C3">
        <w:rPr>
          <w:rFonts w:ascii="Times New Roman" w:hAnsi="Times New Roman" w:cs="Times New Roman"/>
          <w:color w:val="000000" w:themeColor="text1"/>
        </w:rPr>
        <w:t>: ribonucleic acid</w:t>
      </w:r>
    </w:p>
    <w:p w14:paraId="63BF6B70" w14:textId="77777777" w:rsidR="007352C3" w:rsidRPr="00D133C3" w:rsidRDefault="007352C3" w:rsidP="00D345F4">
      <w:pPr>
        <w:pStyle w:val="af3"/>
        <w:jc w:val="both"/>
        <w:rPr>
          <w:rFonts w:ascii="Times New Roman" w:hAnsi="Times New Roman" w:cs="Times New Roman"/>
          <w:color w:val="000000" w:themeColor="text1"/>
        </w:rPr>
      </w:pPr>
      <w:r w:rsidRPr="00D133C3">
        <w:rPr>
          <w:rFonts w:ascii="Times New Roman" w:hAnsi="Times New Roman" w:cs="Times New Roman"/>
          <w:b/>
          <w:color w:val="000000" w:themeColor="text1"/>
        </w:rPr>
        <w:t>RT-qPCR</w:t>
      </w:r>
      <w:r w:rsidRPr="00D133C3">
        <w:rPr>
          <w:rFonts w:ascii="Times New Roman" w:hAnsi="Times New Roman" w:cs="Times New Roman"/>
          <w:color w:val="000000" w:themeColor="text1"/>
        </w:rPr>
        <w:t>: quantitative real-time polymerase chain reaction</w:t>
      </w:r>
    </w:p>
    <w:p w14:paraId="4189A019" w14:textId="77777777" w:rsidR="007352C3" w:rsidRPr="00D133C3" w:rsidRDefault="007352C3" w:rsidP="00D345F4">
      <w:pPr>
        <w:pStyle w:val="af3"/>
        <w:jc w:val="both"/>
        <w:rPr>
          <w:rFonts w:ascii="Times New Roman" w:hAnsi="Times New Roman" w:cs="Times New Roman"/>
          <w:color w:val="000000" w:themeColor="text1"/>
        </w:rPr>
      </w:pPr>
      <w:r w:rsidRPr="00D133C3">
        <w:rPr>
          <w:rFonts w:ascii="Times New Roman" w:hAnsi="Times New Roman" w:cs="Times New Roman"/>
          <w:b/>
          <w:color w:val="000000" w:themeColor="text1"/>
        </w:rPr>
        <w:t>SPF</w:t>
      </w:r>
      <w:r w:rsidRPr="00D133C3">
        <w:rPr>
          <w:rFonts w:ascii="Times New Roman" w:hAnsi="Times New Roman" w:cs="Times New Roman"/>
          <w:color w:val="000000" w:themeColor="text1"/>
        </w:rPr>
        <w:t>: specific pathogen-free</w:t>
      </w:r>
    </w:p>
    <w:p w14:paraId="57CFB4F3" w14:textId="77777777" w:rsidR="007352C3" w:rsidRPr="00D133C3" w:rsidRDefault="007352C3" w:rsidP="00D345F4">
      <w:pPr>
        <w:pStyle w:val="af3"/>
        <w:jc w:val="both"/>
        <w:rPr>
          <w:rFonts w:ascii="Times New Roman" w:hAnsi="Times New Roman" w:cs="Times New Roman"/>
          <w:color w:val="000000" w:themeColor="text1"/>
        </w:rPr>
      </w:pPr>
      <w:r w:rsidRPr="00D133C3">
        <w:rPr>
          <w:rFonts w:ascii="Times New Roman" w:hAnsi="Times New Roman" w:cs="Times New Roman"/>
          <w:b/>
          <w:color w:val="000000" w:themeColor="text1"/>
        </w:rPr>
        <w:t>TGI</w:t>
      </w:r>
      <w:r w:rsidRPr="00D133C3">
        <w:rPr>
          <w:rFonts w:ascii="Times New Roman" w:hAnsi="Times New Roman" w:cs="Times New Roman"/>
          <w:color w:val="000000" w:themeColor="text1"/>
        </w:rPr>
        <w:t>: tumor growth inhibition</w:t>
      </w:r>
    </w:p>
    <w:p w14:paraId="565DAE42" w14:textId="77777777" w:rsidR="007352C3" w:rsidRPr="00D133C3" w:rsidRDefault="007352C3" w:rsidP="00D345F4">
      <w:pPr>
        <w:pStyle w:val="af3"/>
        <w:jc w:val="both"/>
        <w:rPr>
          <w:rFonts w:ascii="Times New Roman" w:hAnsi="Times New Roman" w:cs="Times New Roman"/>
          <w:color w:val="000000" w:themeColor="text1"/>
        </w:rPr>
      </w:pPr>
      <w:r w:rsidRPr="00D133C3">
        <w:rPr>
          <w:rFonts w:ascii="Times New Roman" w:hAnsi="Times New Roman" w:cs="Times New Roman"/>
          <w:b/>
          <w:color w:val="000000" w:themeColor="text1"/>
        </w:rPr>
        <w:t>TMZ</w:t>
      </w:r>
      <w:r w:rsidRPr="00D133C3">
        <w:rPr>
          <w:rFonts w:ascii="Times New Roman" w:hAnsi="Times New Roman" w:cs="Times New Roman"/>
          <w:color w:val="000000" w:themeColor="text1"/>
        </w:rPr>
        <w:t xml:space="preserve">: </w:t>
      </w:r>
      <w:proofErr w:type="spellStart"/>
      <w:r w:rsidRPr="00D133C3">
        <w:rPr>
          <w:rFonts w:ascii="Times New Roman" w:hAnsi="Times New Roman" w:cs="Times New Roman"/>
          <w:color w:val="000000" w:themeColor="text1"/>
        </w:rPr>
        <w:t>temozolomide</w:t>
      </w:r>
      <w:proofErr w:type="spellEnd"/>
    </w:p>
    <w:p w14:paraId="62F30DF7" w14:textId="77777777" w:rsidR="007352C3" w:rsidRPr="00D133C3" w:rsidRDefault="007352C3" w:rsidP="00D345F4">
      <w:pPr>
        <w:pStyle w:val="af3"/>
        <w:jc w:val="both"/>
        <w:rPr>
          <w:rFonts w:ascii="Times New Roman" w:hAnsi="Times New Roman" w:cs="Times New Roman"/>
          <w:color w:val="000000" w:themeColor="text1"/>
        </w:rPr>
      </w:pPr>
      <w:r w:rsidRPr="00D133C3">
        <w:rPr>
          <w:rFonts w:ascii="Times New Roman" w:hAnsi="Times New Roman" w:cs="Times New Roman"/>
          <w:b/>
          <w:color w:val="000000" w:themeColor="text1"/>
        </w:rPr>
        <w:t>TP53</w:t>
      </w:r>
      <w:r w:rsidRPr="00D133C3">
        <w:rPr>
          <w:rFonts w:ascii="Times New Roman" w:hAnsi="Times New Roman" w:cs="Times New Roman"/>
          <w:color w:val="000000" w:themeColor="text1"/>
        </w:rPr>
        <w:t>: tumor protein p53</w:t>
      </w:r>
    </w:p>
    <w:p w14:paraId="216B9D77" w14:textId="77777777" w:rsidR="007352C3" w:rsidRPr="00D133C3" w:rsidRDefault="007352C3" w:rsidP="00D345F4">
      <w:pPr>
        <w:pStyle w:val="af3"/>
        <w:jc w:val="both"/>
        <w:rPr>
          <w:rFonts w:ascii="Times New Roman" w:hAnsi="Times New Roman" w:cs="Times New Roman"/>
          <w:color w:val="000000" w:themeColor="text1"/>
        </w:rPr>
      </w:pPr>
      <w:r w:rsidRPr="00D133C3">
        <w:rPr>
          <w:rFonts w:ascii="Times New Roman" w:hAnsi="Times New Roman" w:cs="Times New Roman"/>
          <w:b/>
          <w:color w:val="000000" w:themeColor="text1"/>
        </w:rPr>
        <w:t>U87MG</w:t>
      </w:r>
      <w:r w:rsidRPr="00D133C3">
        <w:rPr>
          <w:rFonts w:ascii="Times New Roman" w:hAnsi="Times New Roman" w:cs="Times New Roman"/>
          <w:color w:val="000000" w:themeColor="text1"/>
        </w:rPr>
        <w:t>: human glioblastoma cell line</w:t>
      </w:r>
    </w:p>
    <w:p w14:paraId="3884A4D0" w14:textId="77777777" w:rsidR="007352C3" w:rsidRPr="00D133C3" w:rsidRDefault="007352C3" w:rsidP="00D345F4">
      <w:pPr>
        <w:pStyle w:val="af3"/>
        <w:jc w:val="both"/>
        <w:rPr>
          <w:rFonts w:ascii="Times New Roman" w:hAnsi="Times New Roman" w:cs="Times New Roman"/>
          <w:color w:val="000000" w:themeColor="text1"/>
        </w:rPr>
      </w:pPr>
      <w:r w:rsidRPr="00D133C3">
        <w:rPr>
          <w:rFonts w:ascii="Times New Roman" w:hAnsi="Times New Roman" w:cs="Times New Roman"/>
          <w:b/>
          <w:color w:val="000000" w:themeColor="text1"/>
        </w:rPr>
        <w:t>WHO</w:t>
      </w:r>
      <w:r w:rsidRPr="00D133C3">
        <w:rPr>
          <w:rFonts w:ascii="Times New Roman" w:hAnsi="Times New Roman" w:cs="Times New Roman"/>
          <w:color w:val="000000" w:themeColor="text1"/>
        </w:rPr>
        <w:t>: World Health Organization</w:t>
      </w:r>
    </w:p>
    <w:p w14:paraId="14556BFD" w14:textId="77777777" w:rsidR="00A56823" w:rsidRPr="00D133C3" w:rsidRDefault="00A56823" w:rsidP="00A56823">
      <w:pPr>
        <w:widowControl w:val="0"/>
        <w:autoSpaceDE w:val="0"/>
        <w:autoSpaceDN w:val="0"/>
        <w:adjustRightInd w:val="0"/>
        <w:spacing w:after="0" w:line="240" w:lineRule="auto"/>
        <w:jc w:val="center"/>
        <w:rPr>
          <w:rFonts w:ascii="Times New Roman" w:hAnsi="Times New Roman" w:cs="Times New Roman"/>
          <w:b/>
          <w:color w:val="000000" w:themeColor="text1"/>
          <w:sz w:val="21"/>
          <w:szCs w:val="21"/>
        </w:rPr>
      </w:pPr>
    </w:p>
    <w:p w14:paraId="3393BD58" w14:textId="6126C1DA" w:rsidR="00DF5231" w:rsidRPr="00D133C3" w:rsidRDefault="00DF5231" w:rsidP="002A03C9">
      <w:pPr>
        <w:widowControl w:val="0"/>
        <w:autoSpaceDE w:val="0"/>
        <w:autoSpaceDN w:val="0"/>
        <w:adjustRightInd w:val="0"/>
        <w:spacing w:after="0" w:line="240" w:lineRule="auto"/>
        <w:jc w:val="center"/>
        <w:rPr>
          <w:rFonts w:ascii="Times New Roman" w:hAnsi="Times New Roman" w:cs="Times New Roman"/>
          <w:b/>
          <w:color w:val="000000" w:themeColor="text1"/>
          <w:sz w:val="21"/>
          <w:szCs w:val="21"/>
        </w:rPr>
      </w:pPr>
    </w:p>
    <w:p w14:paraId="26E7BE22" w14:textId="2375F472" w:rsidR="000D36B6" w:rsidRPr="00D133C3" w:rsidRDefault="000D36B6" w:rsidP="002A03C9">
      <w:pPr>
        <w:widowControl w:val="0"/>
        <w:autoSpaceDE w:val="0"/>
        <w:autoSpaceDN w:val="0"/>
        <w:adjustRightInd w:val="0"/>
        <w:spacing w:after="0" w:line="240" w:lineRule="auto"/>
        <w:jc w:val="center"/>
        <w:rPr>
          <w:rFonts w:ascii="Times New Roman" w:hAnsi="Times New Roman" w:cs="Times New Roman"/>
          <w:b/>
          <w:color w:val="000000" w:themeColor="text1"/>
          <w:sz w:val="21"/>
          <w:szCs w:val="21"/>
        </w:rPr>
      </w:pPr>
    </w:p>
    <w:p w14:paraId="7F2F87EF" w14:textId="5D7EE9D0" w:rsidR="000D36B6" w:rsidRPr="00D133C3" w:rsidRDefault="000D36B6" w:rsidP="002A03C9">
      <w:pPr>
        <w:widowControl w:val="0"/>
        <w:autoSpaceDE w:val="0"/>
        <w:autoSpaceDN w:val="0"/>
        <w:adjustRightInd w:val="0"/>
        <w:spacing w:after="0" w:line="240" w:lineRule="auto"/>
        <w:jc w:val="center"/>
        <w:rPr>
          <w:rFonts w:ascii="Times New Roman" w:hAnsi="Times New Roman" w:cs="Times New Roman"/>
          <w:b/>
          <w:color w:val="000000" w:themeColor="text1"/>
          <w:sz w:val="21"/>
          <w:szCs w:val="21"/>
        </w:rPr>
      </w:pPr>
    </w:p>
    <w:p w14:paraId="68DCB27E" w14:textId="75B8751F" w:rsidR="000D36B6" w:rsidRPr="00D133C3" w:rsidRDefault="000D36B6" w:rsidP="002A03C9">
      <w:pPr>
        <w:widowControl w:val="0"/>
        <w:autoSpaceDE w:val="0"/>
        <w:autoSpaceDN w:val="0"/>
        <w:adjustRightInd w:val="0"/>
        <w:spacing w:after="0" w:line="240" w:lineRule="auto"/>
        <w:jc w:val="center"/>
        <w:rPr>
          <w:rFonts w:ascii="Times New Roman" w:hAnsi="Times New Roman" w:cs="Times New Roman"/>
          <w:b/>
          <w:color w:val="000000" w:themeColor="text1"/>
          <w:sz w:val="21"/>
          <w:szCs w:val="21"/>
        </w:rPr>
      </w:pPr>
    </w:p>
    <w:p w14:paraId="40720EF0" w14:textId="72B3DD95" w:rsidR="000D36B6" w:rsidRPr="00D133C3" w:rsidRDefault="000D36B6" w:rsidP="002A03C9">
      <w:pPr>
        <w:widowControl w:val="0"/>
        <w:autoSpaceDE w:val="0"/>
        <w:autoSpaceDN w:val="0"/>
        <w:adjustRightInd w:val="0"/>
        <w:spacing w:after="0" w:line="240" w:lineRule="auto"/>
        <w:jc w:val="center"/>
        <w:rPr>
          <w:rFonts w:ascii="Times New Roman" w:hAnsi="Times New Roman" w:cs="Times New Roman"/>
          <w:b/>
          <w:color w:val="000000" w:themeColor="text1"/>
          <w:sz w:val="21"/>
          <w:szCs w:val="21"/>
        </w:rPr>
      </w:pPr>
    </w:p>
    <w:p w14:paraId="79489982" w14:textId="7135FE25" w:rsidR="000D36B6" w:rsidRPr="00D133C3" w:rsidRDefault="000D36B6" w:rsidP="002A03C9">
      <w:pPr>
        <w:widowControl w:val="0"/>
        <w:autoSpaceDE w:val="0"/>
        <w:autoSpaceDN w:val="0"/>
        <w:adjustRightInd w:val="0"/>
        <w:spacing w:after="0" w:line="240" w:lineRule="auto"/>
        <w:jc w:val="center"/>
        <w:rPr>
          <w:rFonts w:ascii="Times New Roman" w:hAnsi="Times New Roman" w:cs="Times New Roman"/>
          <w:b/>
          <w:color w:val="000000" w:themeColor="text1"/>
          <w:sz w:val="21"/>
          <w:szCs w:val="21"/>
        </w:rPr>
      </w:pPr>
    </w:p>
    <w:p w14:paraId="3F63BD43" w14:textId="70609BDD" w:rsidR="000D36B6" w:rsidRPr="00D133C3" w:rsidRDefault="000D36B6" w:rsidP="002A03C9">
      <w:pPr>
        <w:widowControl w:val="0"/>
        <w:autoSpaceDE w:val="0"/>
        <w:autoSpaceDN w:val="0"/>
        <w:adjustRightInd w:val="0"/>
        <w:spacing w:after="0" w:line="240" w:lineRule="auto"/>
        <w:jc w:val="center"/>
        <w:rPr>
          <w:rFonts w:ascii="Times New Roman" w:hAnsi="Times New Roman" w:cs="Times New Roman"/>
          <w:b/>
          <w:color w:val="000000" w:themeColor="text1"/>
          <w:sz w:val="21"/>
          <w:szCs w:val="21"/>
        </w:rPr>
      </w:pPr>
    </w:p>
    <w:p w14:paraId="45485609" w14:textId="03196EB7" w:rsidR="000D36B6" w:rsidRPr="00D133C3" w:rsidRDefault="000D36B6" w:rsidP="002A03C9">
      <w:pPr>
        <w:widowControl w:val="0"/>
        <w:autoSpaceDE w:val="0"/>
        <w:autoSpaceDN w:val="0"/>
        <w:adjustRightInd w:val="0"/>
        <w:spacing w:after="0" w:line="240" w:lineRule="auto"/>
        <w:jc w:val="center"/>
        <w:rPr>
          <w:rFonts w:ascii="Times New Roman" w:hAnsi="Times New Roman" w:cs="Times New Roman"/>
          <w:b/>
          <w:color w:val="000000" w:themeColor="text1"/>
          <w:sz w:val="21"/>
          <w:szCs w:val="21"/>
        </w:rPr>
      </w:pPr>
    </w:p>
    <w:p w14:paraId="01B914FC" w14:textId="3466CB5C" w:rsidR="000D36B6" w:rsidRPr="00D133C3" w:rsidRDefault="000D36B6" w:rsidP="002A03C9">
      <w:pPr>
        <w:widowControl w:val="0"/>
        <w:autoSpaceDE w:val="0"/>
        <w:autoSpaceDN w:val="0"/>
        <w:adjustRightInd w:val="0"/>
        <w:spacing w:after="0" w:line="240" w:lineRule="auto"/>
        <w:jc w:val="center"/>
        <w:rPr>
          <w:rFonts w:ascii="Times New Roman" w:hAnsi="Times New Roman" w:cs="Times New Roman"/>
          <w:b/>
          <w:color w:val="000000" w:themeColor="text1"/>
          <w:sz w:val="21"/>
          <w:szCs w:val="21"/>
        </w:rPr>
      </w:pPr>
    </w:p>
    <w:p w14:paraId="50CFF4E4" w14:textId="28B58CEC" w:rsidR="00C7249E" w:rsidRPr="00D133C3" w:rsidRDefault="00C7249E" w:rsidP="002A03C9">
      <w:pPr>
        <w:widowControl w:val="0"/>
        <w:autoSpaceDE w:val="0"/>
        <w:autoSpaceDN w:val="0"/>
        <w:adjustRightInd w:val="0"/>
        <w:spacing w:after="0" w:line="240" w:lineRule="auto"/>
        <w:jc w:val="center"/>
        <w:rPr>
          <w:rFonts w:ascii="Times New Roman" w:hAnsi="Times New Roman" w:cs="Times New Roman"/>
          <w:b/>
          <w:color w:val="000000" w:themeColor="text1"/>
          <w:sz w:val="21"/>
          <w:szCs w:val="21"/>
        </w:rPr>
      </w:pPr>
    </w:p>
    <w:p w14:paraId="57EC00EA" w14:textId="77777777" w:rsidR="00D345F4" w:rsidRPr="00D133C3" w:rsidRDefault="00D345F4" w:rsidP="002A03C9">
      <w:pPr>
        <w:widowControl w:val="0"/>
        <w:autoSpaceDE w:val="0"/>
        <w:autoSpaceDN w:val="0"/>
        <w:adjustRightInd w:val="0"/>
        <w:spacing w:after="0" w:line="240" w:lineRule="auto"/>
        <w:jc w:val="center"/>
        <w:rPr>
          <w:rFonts w:ascii="Times New Roman" w:hAnsi="Times New Roman" w:cs="Times New Roman"/>
          <w:b/>
          <w:color w:val="000000" w:themeColor="text1"/>
          <w:sz w:val="21"/>
          <w:szCs w:val="21"/>
        </w:rPr>
      </w:pPr>
    </w:p>
    <w:p w14:paraId="1957E5F5" w14:textId="77777777" w:rsidR="00C7249E" w:rsidRPr="00D133C3" w:rsidRDefault="00C7249E" w:rsidP="002A03C9">
      <w:pPr>
        <w:widowControl w:val="0"/>
        <w:autoSpaceDE w:val="0"/>
        <w:autoSpaceDN w:val="0"/>
        <w:adjustRightInd w:val="0"/>
        <w:spacing w:after="0" w:line="240" w:lineRule="auto"/>
        <w:jc w:val="center"/>
        <w:rPr>
          <w:rFonts w:ascii="Times New Roman" w:hAnsi="Times New Roman" w:cs="Times New Roman"/>
          <w:b/>
          <w:color w:val="000000" w:themeColor="text1"/>
          <w:sz w:val="21"/>
          <w:szCs w:val="21"/>
        </w:rPr>
      </w:pPr>
    </w:p>
    <w:p w14:paraId="3B9D1429" w14:textId="141B3FE4" w:rsidR="000D36B6" w:rsidRPr="00D133C3" w:rsidRDefault="000D36B6" w:rsidP="002A03C9">
      <w:pPr>
        <w:widowControl w:val="0"/>
        <w:autoSpaceDE w:val="0"/>
        <w:autoSpaceDN w:val="0"/>
        <w:adjustRightInd w:val="0"/>
        <w:spacing w:after="0" w:line="240" w:lineRule="auto"/>
        <w:jc w:val="center"/>
        <w:rPr>
          <w:rFonts w:ascii="Times New Roman" w:hAnsi="Times New Roman" w:cs="Times New Roman"/>
          <w:b/>
          <w:color w:val="000000" w:themeColor="text1"/>
          <w:sz w:val="21"/>
          <w:szCs w:val="21"/>
        </w:rPr>
      </w:pPr>
    </w:p>
    <w:p w14:paraId="746EBCE1" w14:textId="575106A3" w:rsidR="000D36B6" w:rsidRPr="00D133C3" w:rsidRDefault="000D36B6" w:rsidP="002A03C9">
      <w:pPr>
        <w:widowControl w:val="0"/>
        <w:autoSpaceDE w:val="0"/>
        <w:autoSpaceDN w:val="0"/>
        <w:adjustRightInd w:val="0"/>
        <w:spacing w:after="0" w:line="240" w:lineRule="auto"/>
        <w:jc w:val="center"/>
        <w:rPr>
          <w:rFonts w:ascii="Times New Roman" w:hAnsi="Times New Roman" w:cs="Times New Roman"/>
          <w:b/>
          <w:color w:val="000000" w:themeColor="text1"/>
          <w:sz w:val="21"/>
          <w:szCs w:val="21"/>
        </w:rPr>
      </w:pPr>
    </w:p>
    <w:p w14:paraId="5A7881A4" w14:textId="143CA15D" w:rsidR="000D36B6" w:rsidRDefault="000D36B6" w:rsidP="002A03C9">
      <w:pPr>
        <w:widowControl w:val="0"/>
        <w:autoSpaceDE w:val="0"/>
        <w:autoSpaceDN w:val="0"/>
        <w:adjustRightInd w:val="0"/>
        <w:spacing w:after="0" w:line="240" w:lineRule="auto"/>
        <w:jc w:val="center"/>
        <w:rPr>
          <w:rFonts w:ascii="Times New Roman" w:hAnsi="Times New Roman" w:cs="Times New Roman"/>
          <w:b/>
          <w:color w:val="000000" w:themeColor="text1"/>
          <w:sz w:val="21"/>
          <w:szCs w:val="21"/>
        </w:rPr>
      </w:pPr>
    </w:p>
    <w:p w14:paraId="750726A0" w14:textId="02A54E69" w:rsidR="002B6748" w:rsidRDefault="002B6748" w:rsidP="002A03C9">
      <w:pPr>
        <w:widowControl w:val="0"/>
        <w:autoSpaceDE w:val="0"/>
        <w:autoSpaceDN w:val="0"/>
        <w:adjustRightInd w:val="0"/>
        <w:spacing w:after="0" w:line="240" w:lineRule="auto"/>
        <w:jc w:val="center"/>
        <w:rPr>
          <w:rFonts w:ascii="Times New Roman" w:hAnsi="Times New Roman" w:cs="Times New Roman"/>
          <w:b/>
          <w:color w:val="000000" w:themeColor="text1"/>
          <w:sz w:val="21"/>
          <w:szCs w:val="21"/>
        </w:rPr>
      </w:pPr>
    </w:p>
    <w:p w14:paraId="1ABDCFBD" w14:textId="4A3185F8" w:rsidR="002B6748" w:rsidRDefault="002B6748" w:rsidP="002A03C9">
      <w:pPr>
        <w:widowControl w:val="0"/>
        <w:autoSpaceDE w:val="0"/>
        <w:autoSpaceDN w:val="0"/>
        <w:adjustRightInd w:val="0"/>
        <w:spacing w:after="0" w:line="240" w:lineRule="auto"/>
        <w:jc w:val="center"/>
        <w:rPr>
          <w:rFonts w:ascii="Times New Roman" w:hAnsi="Times New Roman" w:cs="Times New Roman"/>
          <w:b/>
          <w:color w:val="000000" w:themeColor="text1"/>
          <w:sz w:val="21"/>
          <w:szCs w:val="21"/>
        </w:rPr>
      </w:pPr>
    </w:p>
    <w:p w14:paraId="68ED4C64" w14:textId="1AD77D4E" w:rsidR="002B6748" w:rsidRDefault="002B6748" w:rsidP="002A03C9">
      <w:pPr>
        <w:widowControl w:val="0"/>
        <w:autoSpaceDE w:val="0"/>
        <w:autoSpaceDN w:val="0"/>
        <w:adjustRightInd w:val="0"/>
        <w:spacing w:after="0" w:line="240" w:lineRule="auto"/>
        <w:jc w:val="center"/>
        <w:rPr>
          <w:rFonts w:ascii="Times New Roman" w:hAnsi="Times New Roman" w:cs="Times New Roman"/>
          <w:b/>
          <w:color w:val="000000" w:themeColor="text1"/>
          <w:sz w:val="21"/>
          <w:szCs w:val="21"/>
        </w:rPr>
      </w:pPr>
    </w:p>
    <w:p w14:paraId="57EEDD72" w14:textId="20E944E7" w:rsidR="002B6748" w:rsidRDefault="002B6748" w:rsidP="002A03C9">
      <w:pPr>
        <w:widowControl w:val="0"/>
        <w:autoSpaceDE w:val="0"/>
        <w:autoSpaceDN w:val="0"/>
        <w:adjustRightInd w:val="0"/>
        <w:spacing w:after="0" w:line="240" w:lineRule="auto"/>
        <w:jc w:val="center"/>
        <w:rPr>
          <w:rFonts w:ascii="Times New Roman" w:hAnsi="Times New Roman" w:cs="Times New Roman"/>
          <w:b/>
          <w:color w:val="000000" w:themeColor="text1"/>
          <w:sz w:val="21"/>
          <w:szCs w:val="21"/>
        </w:rPr>
      </w:pPr>
    </w:p>
    <w:p w14:paraId="30050D30" w14:textId="4F8D3C5B" w:rsidR="002B6748" w:rsidRDefault="002B6748" w:rsidP="002A03C9">
      <w:pPr>
        <w:widowControl w:val="0"/>
        <w:autoSpaceDE w:val="0"/>
        <w:autoSpaceDN w:val="0"/>
        <w:adjustRightInd w:val="0"/>
        <w:spacing w:after="0" w:line="240" w:lineRule="auto"/>
        <w:jc w:val="center"/>
        <w:rPr>
          <w:rFonts w:ascii="Times New Roman" w:hAnsi="Times New Roman" w:cs="Times New Roman"/>
          <w:b/>
          <w:color w:val="000000" w:themeColor="text1"/>
          <w:sz w:val="21"/>
          <w:szCs w:val="21"/>
        </w:rPr>
      </w:pPr>
    </w:p>
    <w:p w14:paraId="78515B1A" w14:textId="74F76713" w:rsidR="002B6748" w:rsidRDefault="002B6748" w:rsidP="002A03C9">
      <w:pPr>
        <w:widowControl w:val="0"/>
        <w:autoSpaceDE w:val="0"/>
        <w:autoSpaceDN w:val="0"/>
        <w:adjustRightInd w:val="0"/>
        <w:spacing w:after="0" w:line="240" w:lineRule="auto"/>
        <w:jc w:val="center"/>
        <w:rPr>
          <w:rFonts w:ascii="Times New Roman" w:hAnsi="Times New Roman" w:cs="Times New Roman"/>
          <w:b/>
          <w:color w:val="000000" w:themeColor="text1"/>
          <w:sz w:val="21"/>
          <w:szCs w:val="21"/>
        </w:rPr>
      </w:pPr>
    </w:p>
    <w:p w14:paraId="523A2768" w14:textId="0B047B72" w:rsidR="002B6748" w:rsidRDefault="002B6748" w:rsidP="002A03C9">
      <w:pPr>
        <w:widowControl w:val="0"/>
        <w:autoSpaceDE w:val="0"/>
        <w:autoSpaceDN w:val="0"/>
        <w:adjustRightInd w:val="0"/>
        <w:spacing w:after="0" w:line="240" w:lineRule="auto"/>
        <w:jc w:val="center"/>
        <w:rPr>
          <w:rFonts w:ascii="Times New Roman" w:hAnsi="Times New Roman" w:cs="Times New Roman"/>
          <w:b/>
          <w:color w:val="000000" w:themeColor="text1"/>
          <w:sz w:val="21"/>
          <w:szCs w:val="21"/>
        </w:rPr>
      </w:pPr>
    </w:p>
    <w:p w14:paraId="460069CE" w14:textId="3A2B18FD" w:rsidR="002B6748" w:rsidRDefault="002B6748" w:rsidP="002A03C9">
      <w:pPr>
        <w:widowControl w:val="0"/>
        <w:autoSpaceDE w:val="0"/>
        <w:autoSpaceDN w:val="0"/>
        <w:adjustRightInd w:val="0"/>
        <w:spacing w:after="0" w:line="240" w:lineRule="auto"/>
        <w:jc w:val="center"/>
        <w:rPr>
          <w:rFonts w:ascii="Times New Roman" w:hAnsi="Times New Roman" w:cs="Times New Roman"/>
          <w:b/>
          <w:color w:val="000000" w:themeColor="text1"/>
          <w:sz w:val="21"/>
          <w:szCs w:val="21"/>
        </w:rPr>
      </w:pPr>
    </w:p>
    <w:p w14:paraId="226A67AC" w14:textId="66F2CA35" w:rsidR="002B6748" w:rsidRDefault="002B6748" w:rsidP="002A03C9">
      <w:pPr>
        <w:widowControl w:val="0"/>
        <w:autoSpaceDE w:val="0"/>
        <w:autoSpaceDN w:val="0"/>
        <w:adjustRightInd w:val="0"/>
        <w:spacing w:after="0" w:line="240" w:lineRule="auto"/>
        <w:jc w:val="center"/>
        <w:rPr>
          <w:rFonts w:ascii="Times New Roman" w:hAnsi="Times New Roman" w:cs="Times New Roman"/>
          <w:b/>
          <w:color w:val="000000" w:themeColor="text1"/>
          <w:sz w:val="21"/>
          <w:szCs w:val="21"/>
        </w:rPr>
      </w:pPr>
    </w:p>
    <w:p w14:paraId="0B443B1C" w14:textId="77777777" w:rsidR="002B6748" w:rsidRPr="00D133C3" w:rsidRDefault="002B6748" w:rsidP="002A03C9">
      <w:pPr>
        <w:widowControl w:val="0"/>
        <w:autoSpaceDE w:val="0"/>
        <w:autoSpaceDN w:val="0"/>
        <w:adjustRightInd w:val="0"/>
        <w:spacing w:after="0" w:line="240" w:lineRule="auto"/>
        <w:jc w:val="center"/>
        <w:rPr>
          <w:rFonts w:ascii="Times New Roman" w:hAnsi="Times New Roman" w:cs="Times New Roman"/>
          <w:b/>
          <w:color w:val="000000" w:themeColor="text1"/>
          <w:sz w:val="21"/>
          <w:szCs w:val="21"/>
        </w:rPr>
      </w:pPr>
      <w:bookmarkStart w:id="0" w:name="_GoBack"/>
      <w:bookmarkEnd w:id="0"/>
    </w:p>
    <w:p w14:paraId="661C49D7" w14:textId="383D2FB1" w:rsidR="004E6841" w:rsidRPr="00D133C3" w:rsidRDefault="004E6841" w:rsidP="002A03C9">
      <w:pPr>
        <w:widowControl w:val="0"/>
        <w:autoSpaceDE w:val="0"/>
        <w:autoSpaceDN w:val="0"/>
        <w:adjustRightInd w:val="0"/>
        <w:spacing w:after="0" w:line="240" w:lineRule="auto"/>
        <w:jc w:val="center"/>
        <w:rPr>
          <w:rFonts w:ascii="Times New Roman" w:hAnsi="Times New Roman" w:cs="Times New Roman"/>
          <w:b/>
          <w:color w:val="000000" w:themeColor="text1"/>
          <w:sz w:val="21"/>
          <w:szCs w:val="21"/>
        </w:rPr>
      </w:pPr>
    </w:p>
    <w:p w14:paraId="1E5B674E" w14:textId="299A440F" w:rsidR="004E6841" w:rsidRPr="00D133C3" w:rsidRDefault="004E6841" w:rsidP="002A03C9">
      <w:pPr>
        <w:widowControl w:val="0"/>
        <w:autoSpaceDE w:val="0"/>
        <w:autoSpaceDN w:val="0"/>
        <w:adjustRightInd w:val="0"/>
        <w:spacing w:after="0" w:line="240" w:lineRule="auto"/>
        <w:jc w:val="center"/>
        <w:rPr>
          <w:rFonts w:ascii="Times New Roman" w:hAnsi="Times New Roman" w:cs="Times New Roman"/>
          <w:b/>
          <w:color w:val="000000" w:themeColor="text1"/>
          <w:sz w:val="21"/>
          <w:szCs w:val="21"/>
        </w:rPr>
      </w:pPr>
    </w:p>
    <w:p w14:paraId="1E31C0ED" w14:textId="78D3C22B" w:rsidR="004E6841" w:rsidRPr="00D133C3" w:rsidRDefault="004E6841" w:rsidP="002A03C9">
      <w:pPr>
        <w:widowControl w:val="0"/>
        <w:autoSpaceDE w:val="0"/>
        <w:autoSpaceDN w:val="0"/>
        <w:adjustRightInd w:val="0"/>
        <w:spacing w:after="0" w:line="240" w:lineRule="auto"/>
        <w:jc w:val="center"/>
        <w:rPr>
          <w:rFonts w:ascii="Times New Roman" w:hAnsi="Times New Roman" w:cs="Times New Roman"/>
          <w:b/>
          <w:color w:val="000000" w:themeColor="text1"/>
          <w:sz w:val="21"/>
          <w:szCs w:val="21"/>
        </w:rPr>
      </w:pPr>
    </w:p>
    <w:p w14:paraId="159F0690" w14:textId="19DCE291" w:rsidR="00634B45" w:rsidRPr="00D133C3" w:rsidRDefault="00634B45" w:rsidP="002A03C9">
      <w:pPr>
        <w:widowControl w:val="0"/>
        <w:autoSpaceDE w:val="0"/>
        <w:autoSpaceDN w:val="0"/>
        <w:adjustRightInd w:val="0"/>
        <w:spacing w:after="0" w:line="240" w:lineRule="auto"/>
        <w:jc w:val="center"/>
        <w:rPr>
          <w:rFonts w:ascii="Times New Roman" w:hAnsi="Times New Roman" w:cs="Times New Roman"/>
          <w:b/>
          <w:color w:val="000000" w:themeColor="text1"/>
          <w:sz w:val="21"/>
          <w:szCs w:val="21"/>
        </w:rPr>
      </w:pPr>
    </w:p>
    <w:p w14:paraId="49ECA0BA" w14:textId="77777777" w:rsidR="001A707C" w:rsidRPr="00D133C3" w:rsidRDefault="001A707C" w:rsidP="002A03C9">
      <w:pPr>
        <w:widowControl w:val="0"/>
        <w:autoSpaceDE w:val="0"/>
        <w:autoSpaceDN w:val="0"/>
        <w:adjustRightInd w:val="0"/>
        <w:spacing w:after="0" w:line="240" w:lineRule="auto"/>
        <w:jc w:val="center"/>
        <w:rPr>
          <w:rFonts w:ascii="Times New Roman" w:hAnsi="Times New Roman" w:cs="Times New Roman"/>
          <w:b/>
          <w:color w:val="000000" w:themeColor="text1"/>
          <w:sz w:val="21"/>
          <w:szCs w:val="21"/>
        </w:rPr>
      </w:pPr>
    </w:p>
    <w:p w14:paraId="7FE04DC2" w14:textId="594D7A73" w:rsidR="008778EA" w:rsidRPr="00D133C3" w:rsidRDefault="004E6841" w:rsidP="008778EA">
      <w:pPr>
        <w:widowControl w:val="0"/>
        <w:spacing w:after="0" w:line="240" w:lineRule="auto"/>
        <w:jc w:val="center"/>
        <w:rPr>
          <w:rFonts w:ascii="Times New Roman" w:hAnsi="Times New Roman" w:cs="Times New Roman"/>
          <w:b/>
          <w:bCs/>
          <w:color w:val="000000" w:themeColor="text1"/>
          <w:sz w:val="34"/>
          <w:szCs w:val="34"/>
        </w:rPr>
      </w:pPr>
      <w:r w:rsidRPr="00D133C3">
        <w:rPr>
          <w:rFonts w:ascii="Times New Roman" w:hAnsi="Times New Roman" w:cs="Times New Roman"/>
          <w:b/>
          <w:bCs/>
          <w:color w:val="000000" w:themeColor="text1"/>
          <w:sz w:val="34"/>
          <w:szCs w:val="34"/>
        </w:rPr>
        <w:lastRenderedPageBreak/>
        <w:t xml:space="preserve">Antitumor Efficacy and Molecular Mechanisms of a Novel </w:t>
      </w:r>
      <w:proofErr w:type="spellStart"/>
      <w:r w:rsidRPr="00D133C3">
        <w:rPr>
          <w:rFonts w:ascii="Times New Roman" w:hAnsi="Times New Roman" w:cs="Times New Roman"/>
          <w:b/>
          <w:bCs/>
          <w:color w:val="000000" w:themeColor="text1"/>
          <w:sz w:val="34"/>
          <w:szCs w:val="34"/>
        </w:rPr>
        <w:t>Tropolone</w:t>
      </w:r>
      <w:proofErr w:type="spellEnd"/>
      <w:r w:rsidRPr="00D133C3">
        <w:rPr>
          <w:rFonts w:ascii="Times New Roman" w:hAnsi="Times New Roman" w:cs="Times New Roman"/>
          <w:b/>
          <w:bCs/>
          <w:color w:val="000000" w:themeColor="text1"/>
          <w:sz w:val="34"/>
          <w:szCs w:val="34"/>
        </w:rPr>
        <w:t xml:space="preserve"> Derivative JO-122(2) in Combina</w:t>
      </w:r>
      <w:r w:rsidR="00294DE6" w:rsidRPr="00D133C3">
        <w:rPr>
          <w:rFonts w:ascii="Times New Roman" w:hAnsi="Times New Roman" w:cs="Times New Roman"/>
          <w:b/>
          <w:bCs/>
          <w:color w:val="000000" w:themeColor="text1"/>
          <w:sz w:val="34"/>
          <w:szCs w:val="34"/>
        </w:rPr>
        <w:t xml:space="preserve">tion with </w:t>
      </w:r>
      <w:proofErr w:type="spellStart"/>
      <w:r w:rsidR="00294DE6" w:rsidRPr="00D133C3">
        <w:rPr>
          <w:rFonts w:ascii="Times New Roman" w:hAnsi="Times New Roman" w:cs="Times New Roman"/>
          <w:b/>
          <w:bCs/>
          <w:color w:val="000000" w:themeColor="text1"/>
          <w:sz w:val="34"/>
          <w:szCs w:val="34"/>
        </w:rPr>
        <w:t>Temozolomide</w:t>
      </w:r>
      <w:proofErr w:type="spellEnd"/>
      <w:r w:rsidR="00294DE6" w:rsidRPr="00D133C3">
        <w:rPr>
          <w:rFonts w:ascii="Times New Roman" w:hAnsi="Times New Roman" w:cs="Times New Roman"/>
          <w:b/>
          <w:bCs/>
          <w:color w:val="000000" w:themeColor="text1"/>
          <w:sz w:val="34"/>
          <w:szCs w:val="34"/>
        </w:rPr>
        <w:t xml:space="preserve"> in a U87</w:t>
      </w:r>
      <w:r w:rsidRPr="00D133C3">
        <w:rPr>
          <w:rFonts w:ascii="Times New Roman" w:hAnsi="Times New Roman" w:cs="Times New Roman"/>
          <w:b/>
          <w:bCs/>
          <w:color w:val="000000" w:themeColor="text1"/>
          <w:sz w:val="34"/>
          <w:szCs w:val="34"/>
        </w:rPr>
        <w:t xml:space="preserve">MG Glioblastoma Xenograft Model  </w:t>
      </w:r>
    </w:p>
    <w:p w14:paraId="1C5EDCF7" w14:textId="400F6863" w:rsidR="008778EA" w:rsidRPr="00D133C3" w:rsidRDefault="008778EA" w:rsidP="008778EA">
      <w:pPr>
        <w:widowControl w:val="0"/>
        <w:spacing w:after="0" w:line="240" w:lineRule="auto"/>
        <w:jc w:val="center"/>
        <w:rPr>
          <w:rFonts w:ascii="Times New Roman" w:hAnsi="Times New Roman" w:cs="Times New Roman"/>
          <w:b/>
          <w:bCs/>
          <w:color w:val="000000" w:themeColor="text1"/>
          <w:sz w:val="34"/>
          <w:szCs w:val="34"/>
        </w:rPr>
      </w:pPr>
    </w:p>
    <w:p w14:paraId="18A422C1" w14:textId="035510B3" w:rsidR="008778EA" w:rsidRPr="00D133C3" w:rsidRDefault="008778EA" w:rsidP="008778EA">
      <w:pPr>
        <w:widowControl w:val="0"/>
        <w:spacing w:after="0" w:line="240" w:lineRule="auto"/>
        <w:ind w:hanging="284"/>
        <w:jc w:val="center"/>
        <w:rPr>
          <w:rFonts w:ascii="Times New Roman" w:hAnsi="Times New Roman" w:cs="Times New Roman"/>
          <w:b/>
          <w:bCs/>
          <w:color w:val="000000" w:themeColor="text1"/>
          <w:sz w:val="24"/>
          <w:szCs w:val="24"/>
        </w:rPr>
      </w:pPr>
      <w:r w:rsidRPr="00D133C3">
        <w:rPr>
          <w:rFonts w:ascii="Times New Roman" w:hAnsi="Times New Roman" w:cs="Times New Roman"/>
          <w:b/>
          <w:bCs/>
          <w:color w:val="000000" w:themeColor="text1"/>
          <w:sz w:val="24"/>
          <w:szCs w:val="24"/>
        </w:rPr>
        <w:t>ABSTRACT</w:t>
      </w:r>
    </w:p>
    <w:p w14:paraId="6BD5F876" w14:textId="77777777" w:rsidR="008778EA" w:rsidRPr="00D133C3" w:rsidRDefault="008778EA" w:rsidP="008778EA">
      <w:pPr>
        <w:widowControl w:val="0"/>
        <w:spacing w:after="0" w:line="240" w:lineRule="auto"/>
        <w:ind w:hanging="284"/>
        <w:jc w:val="center"/>
        <w:rPr>
          <w:rFonts w:ascii="Times New Roman" w:hAnsi="Times New Roman" w:cs="Times New Roman"/>
          <w:b/>
          <w:bCs/>
          <w:color w:val="000000" w:themeColor="text1"/>
          <w:sz w:val="24"/>
          <w:szCs w:val="24"/>
        </w:rPr>
      </w:pPr>
    </w:p>
    <w:p w14:paraId="433559BB" w14:textId="1A294787" w:rsidR="00651D5A" w:rsidRPr="00D133C3" w:rsidRDefault="008778EA" w:rsidP="00AE1020">
      <w:pPr>
        <w:widowControl w:val="0"/>
        <w:spacing w:after="0" w:line="240" w:lineRule="auto"/>
        <w:jc w:val="both"/>
        <w:rPr>
          <w:rFonts w:ascii="Times New Roman" w:hAnsi="Times New Roman" w:cs="Times New Roman"/>
          <w:bCs/>
          <w:color w:val="000000" w:themeColor="text1"/>
          <w:sz w:val="21"/>
          <w:szCs w:val="21"/>
        </w:rPr>
      </w:pPr>
      <w:r w:rsidRPr="00D133C3">
        <w:rPr>
          <w:rFonts w:ascii="Times New Roman" w:hAnsi="Times New Roman" w:cs="Times New Roman"/>
          <w:b/>
          <w:bCs/>
          <w:color w:val="000000" w:themeColor="text1"/>
          <w:sz w:val="21"/>
          <w:szCs w:val="21"/>
        </w:rPr>
        <w:t>Background:</w:t>
      </w:r>
      <w:r w:rsidR="00651D5A" w:rsidRPr="00D133C3">
        <w:rPr>
          <w:rFonts w:ascii="Times New Roman" w:hAnsi="Times New Roman" w:cs="Times New Roman"/>
          <w:b/>
          <w:bCs/>
          <w:color w:val="000000" w:themeColor="text1"/>
          <w:sz w:val="21"/>
          <w:szCs w:val="21"/>
          <w:rtl/>
        </w:rPr>
        <w:t xml:space="preserve"> </w:t>
      </w:r>
      <w:r w:rsidR="00D345F4" w:rsidRPr="00D133C3">
        <w:rPr>
          <w:rFonts w:ascii="Times New Roman" w:hAnsi="Times New Roman" w:cs="Times New Roman"/>
          <w:bCs/>
          <w:color w:val="000000" w:themeColor="text1"/>
          <w:sz w:val="21"/>
          <w:szCs w:val="21"/>
        </w:rPr>
        <w:t xml:space="preserve">Glioblastoma (GBM) is the most aggressive primary brain tumor in adults, with limited therapeutic options and poor survival. Resistance to standard therapy with </w:t>
      </w:r>
      <w:proofErr w:type="spellStart"/>
      <w:r w:rsidR="00D345F4" w:rsidRPr="00D133C3">
        <w:rPr>
          <w:rFonts w:ascii="Times New Roman" w:hAnsi="Times New Roman" w:cs="Times New Roman"/>
          <w:bCs/>
          <w:color w:val="000000" w:themeColor="text1"/>
          <w:sz w:val="21"/>
          <w:szCs w:val="21"/>
        </w:rPr>
        <w:t>temozolomide</w:t>
      </w:r>
      <w:proofErr w:type="spellEnd"/>
      <w:r w:rsidR="00D345F4" w:rsidRPr="00D133C3">
        <w:rPr>
          <w:rFonts w:ascii="Times New Roman" w:hAnsi="Times New Roman" w:cs="Times New Roman"/>
          <w:bCs/>
          <w:color w:val="000000" w:themeColor="text1"/>
          <w:sz w:val="21"/>
          <w:szCs w:val="21"/>
        </w:rPr>
        <w:t xml:space="preserve"> (TMZ) remains a major challenge, necessitating novel agents with enhanced efficacy. </w:t>
      </w:r>
      <w:proofErr w:type="spellStart"/>
      <w:r w:rsidR="00D345F4" w:rsidRPr="00D133C3">
        <w:rPr>
          <w:rFonts w:ascii="Times New Roman" w:hAnsi="Times New Roman" w:cs="Times New Roman"/>
          <w:bCs/>
          <w:color w:val="000000" w:themeColor="text1"/>
          <w:sz w:val="21"/>
          <w:szCs w:val="21"/>
        </w:rPr>
        <w:t>Tropolone</w:t>
      </w:r>
      <w:proofErr w:type="spellEnd"/>
      <w:r w:rsidR="00D345F4" w:rsidRPr="00D133C3">
        <w:rPr>
          <w:rFonts w:ascii="Times New Roman" w:hAnsi="Times New Roman" w:cs="Times New Roman"/>
          <w:bCs/>
          <w:color w:val="000000" w:themeColor="text1"/>
          <w:sz w:val="21"/>
          <w:szCs w:val="21"/>
        </w:rPr>
        <w:t xml:space="preserve"> derivatives exhibit broad antitumor activity, </w:t>
      </w:r>
      <w:r w:rsidR="00AE1020" w:rsidRPr="00D133C3">
        <w:rPr>
          <w:rFonts w:ascii="Times New Roman" w:hAnsi="Times New Roman" w:cs="Times New Roman"/>
          <w:bCs/>
          <w:color w:val="000000" w:themeColor="text1"/>
          <w:sz w:val="21"/>
          <w:szCs w:val="21"/>
        </w:rPr>
        <w:t xml:space="preserve">and the synthetic </w:t>
      </w:r>
      <w:proofErr w:type="spellStart"/>
      <w:r w:rsidR="00AE1020" w:rsidRPr="00D133C3">
        <w:rPr>
          <w:rFonts w:ascii="Times New Roman" w:hAnsi="Times New Roman" w:cs="Times New Roman"/>
          <w:bCs/>
          <w:color w:val="000000" w:themeColor="text1"/>
          <w:sz w:val="21"/>
          <w:szCs w:val="21"/>
        </w:rPr>
        <w:t>trichlorotropolone</w:t>
      </w:r>
      <w:proofErr w:type="spellEnd"/>
      <w:r w:rsidR="00AE1020" w:rsidRPr="00D133C3">
        <w:rPr>
          <w:rFonts w:ascii="Times New Roman" w:hAnsi="Times New Roman" w:cs="Times New Roman"/>
          <w:bCs/>
          <w:color w:val="000000" w:themeColor="text1"/>
          <w:sz w:val="21"/>
          <w:szCs w:val="21"/>
        </w:rPr>
        <w:t xml:space="preserve"> JO-122(2) has demonstrated cytotoxic activity in previous studies. </w:t>
      </w:r>
    </w:p>
    <w:p w14:paraId="527FB074" w14:textId="71D7FEE0" w:rsidR="00651D5A" w:rsidRPr="00D133C3" w:rsidRDefault="008778EA" w:rsidP="008778EA">
      <w:pPr>
        <w:widowControl w:val="0"/>
        <w:spacing w:after="0" w:line="240" w:lineRule="auto"/>
        <w:jc w:val="both"/>
        <w:rPr>
          <w:rFonts w:ascii="Times New Roman" w:hAnsi="Times New Roman" w:cs="Times New Roman"/>
          <w:color w:val="000000" w:themeColor="text1"/>
          <w:sz w:val="21"/>
          <w:szCs w:val="21"/>
        </w:rPr>
      </w:pPr>
      <w:r w:rsidRPr="00D133C3">
        <w:rPr>
          <w:rFonts w:ascii="Times New Roman" w:hAnsi="Times New Roman" w:cs="Times New Roman"/>
          <w:b/>
          <w:bCs/>
          <w:color w:val="000000" w:themeColor="text1"/>
          <w:sz w:val="21"/>
          <w:szCs w:val="21"/>
        </w:rPr>
        <w:t>Methods</w:t>
      </w:r>
      <w:r w:rsidRPr="00D133C3">
        <w:rPr>
          <w:rFonts w:ascii="Times New Roman" w:hAnsi="Times New Roman" w:cs="Times New Roman"/>
          <w:color w:val="000000" w:themeColor="text1"/>
          <w:sz w:val="21"/>
          <w:szCs w:val="21"/>
        </w:rPr>
        <w:t xml:space="preserve">: </w:t>
      </w:r>
      <w:r w:rsidR="00651D5A" w:rsidRPr="00D133C3">
        <w:rPr>
          <w:rFonts w:ascii="Times New Roman" w:hAnsi="Times New Roman" w:cs="Times New Roman"/>
          <w:color w:val="000000" w:themeColor="text1"/>
          <w:sz w:val="21"/>
          <w:szCs w:val="21"/>
        </w:rPr>
        <w:t xml:space="preserve">The antitumor efficacy of JO-122(2), both as monotherapy and in combination with TMZ, was evaluated in a U87MG glioblastoma xenograft model in Balb/c nude mice (n = 8 per group). Tumor volume was monitored over 25 days, and tumor growth inhibition (TGI) was calculated. Molecular mechanisms were investigated via RT-qPCR and ELISA to assess expression and protein levels of key apoptosis regulators: </w:t>
      </w:r>
      <w:r w:rsidR="00651D5A" w:rsidRPr="00D133C3">
        <w:rPr>
          <w:rFonts w:ascii="Times New Roman" w:hAnsi="Times New Roman" w:cs="Times New Roman"/>
          <w:i/>
          <w:color w:val="000000" w:themeColor="text1"/>
          <w:sz w:val="21"/>
          <w:szCs w:val="21"/>
        </w:rPr>
        <w:t>TP53</w:t>
      </w:r>
      <w:r w:rsidR="00651D5A" w:rsidRPr="00D133C3">
        <w:rPr>
          <w:rFonts w:ascii="Times New Roman" w:hAnsi="Times New Roman" w:cs="Times New Roman"/>
          <w:color w:val="000000" w:themeColor="text1"/>
          <w:sz w:val="21"/>
          <w:szCs w:val="21"/>
        </w:rPr>
        <w:t xml:space="preserve">, </w:t>
      </w:r>
      <w:r w:rsidR="00651D5A" w:rsidRPr="00D133C3">
        <w:rPr>
          <w:rFonts w:ascii="Times New Roman" w:hAnsi="Times New Roman" w:cs="Times New Roman"/>
          <w:i/>
          <w:color w:val="000000" w:themeColor="text1"/>
          <w:sz w:val="21"/>
          <w:szCs w:val="21"/>
        </w:rPr>
        <w:t>MDM2</w:t>
      </w:r>
      <w:r w:rsidR="00651D5A" w:rsidRPr="00D133C3">
        <w:rPr>
          <w:rFonts w:ascii="Times New Roman" w:hAnsi="Times New Roman" w:cs="Times New Roman"/>
          <w:color w:val="000000" w:themeColor="text1"/>
          <w:sz w:val="21"/>
          <w:szCs w:val="21"/>
        </w:rPr>
        <w:t xml:space="preserve">, </w:t>
      </w:r>
      <w:r w:rsidR="00651D5A" w:rsidRPr="00D133C3">
        <w:rPr>
          <w:rFonts w:ascii="Times New Roman" w:hAnsi="Times New Roman" w:cs="Times New Roman"/>
          <w:i/>
          <w:color w:val="000000" w:themeColor="text1"/>
          <w:sz w:val="21"/>
          <w:szCs w:val="21"/>
        </w:rPr>
        <w:t>BAX</w:t>
      </w:r>
      <w:r w:rsidR="00651D5A" w:rsidRPr="00D133C3">
        <w:rPr>
          <w:rFonts w:ascii="Times New Roman" w:hAnsi="Times New Roman" w:cs="Times New Roman"/>
          <w:color w:val="000000" w:themeColor="text1"/>
          <w:sz w:val="21"/>
          <w:szCs w:val="21"/>
        </w:rPr>
        <w:t xml:space="preserve">, </w:t>
      </w:r>
      <w:r w:rsidR="00651D5A" w:rsidRPr="00D133C3">
        <w:rPr>
          <w:rFonts w:ascii="Times New Roman" w:hAnsi="Times New Roman" w:cs="Times New Roman"/>
          <w:i/>
          <w:color w:val="000000" w:themeColor="text1"/>
          <w:sz w:val="21"/>
          <w:szCs w:val="21"/>
        </w:rPr>
        <w:t>BCL2</w:t>
      </w:r>
      <w:r w:rsidR="00651D5A" w:rsidRPr="00D133C3">
        <w:rPr>
          <w:rFonts w:ascii="Times New Roman" w:hAnsi="Times New Roman" w:cs="Times New Roman"/>
          <w:color w:val="000000" w:themeColor="text1"/>
          <w:sz w:val="21"/>
          <w:szCs w:val="21"/>
        </w:rPr>
        <w:t xml:space="preserve">, and </w:t>
      </w:r>
      <w:r w:rsidR="00651D5A" w:rsidRPr="00D133C3">
        <w:rPr>
          <w:rFonts w:ascii="Times New Roman" w:hAnsi="Times New Roman" w:cs="Times New Roman"/>
          <w:i/>
          <w:color w:val="000000" w:themeColor="text1"/>
          <w:sz w:val="21"/>
          <w:szCs w:val="21"/>
        </w:rPr>
        <w:t>CASP9</w:t>
      </w:r>
      <w:r w:rsidR="00651D5A" w:rsidRPr="00D133C3">
        <w:rPr>
          <w:rFonts w:ascii="Times New Roman" w:hAnsi="Times New Roman" w:cs="Times New Roman"/>
          <w:color w:val="000000" w:themeColor="text1"/>
          <w:sz w:val="21"/>
          <w:szCs w:val="21"/>
        </w:rPr>
        <w:t>.</w:t>
      </w:r>
    </w:p>
    <w:p w14:paraId="604D66ED" w14:textId="15F02FB9" w:rsidR="00651D5A" w:rsidRPr="00D133C3" w:rsidRDefault="008778EA" w:rsidP="008778EA">
      <w:pPr>
        <w:widowControl w:val="0"/>
        <w:spacing w:after="0" w:line="240" w:lineRule="auto"/>
        <w:jc w:val="both"/>
        <w:rPr>
          <w:rFonts w:ascii="Times New Roman" w:hAnsi="Times New Roman" w:cs="Times New Roman"/>
          <w:bCs/>
          <w:color w:val="000000" w:themeColor="text1"/>
          <w:sz w:val="21"/>
          <w:szCs w:val="21"/>
        </w:rPr>
      </w:pPr>
      <w:r w:rsidRPr="00D133C3">
        <w:rPr>
          <w:rFonts w:ascii="Times New Roman" w:hAnsi="Times New Roman" w:cs="Times New Roman"/>
          <w:b/>
          <w:bCs/>
          <w:color w:val="000000" w:themeColor="text1"/>
          <w:sz w:val="21"/>
          <w:szCs w:val="21"/>
        </w:rPr>
        <w:t xml:space="preserve">Results: </w:t>
      </w:r>
      <w:r w:rsidR="00651D5A" w:rsidRPr="00D133C3">
        <w:rPr>
          <w:rFonts w:ascii="Times New Roman" w:hAnsi="Times New Roman" w:cs="Times New Roman"/>
          <w:bCs/>
          <w:color w:val="000000" w:themeColor="text1"/>
          <w:sz w:val="21"/>
          <w:szCs w:val="21"/>
        </w:rPr>
        <w:t xml:space="preserve">JO-122(2) significantly inhibited tumor growth (TGI = 42.08%), while TMZ </w:t>
      </w:r>
      <w:r w:rsidR="00AE1020" w:rsidRPr="00D133C3">
        <w:rPr>
          <w:rFonts w:ascii="Times New Roman" w:hAnsi="Times New Roman" w:cs="Times New Roman"/>
          <w:bCs/>
          <w:color w:val="000000" w:themeColor="text1"/>
          <w:sz w:val="21"/>
          <w:szCs w:val="21"/>
        </w:rPr>
        <w:t>also significantly inhibited tumor growth (TGI = 61.44%).</w:t>
      </w:r>
      <w:r w:rsidR="00651D5A" w:rsidRPr="00D133C3">
        <w:rPr>
          <w:rFonts w:ascii="Times New Roman" w:hAnsi="Times New Roman" w:cs="Times New Roman"/>
          <w:bCs/>
          <w:color w:val="000000" w:themeColor="text1"/>
          <w:sz w:val="21"/>
          <w:szCs w:val="21"/>
        </w:rPr>
        <w:t xml:space="preserve"> The combination therapy demonstrated synergistic efficacy, reducing tumor volume by 4.9-fold and achieving 79.88% TGI (p &lt; 0.0</w:t>
      </w:r>
      <w:r w:rsidR="00DB1938" w:rsidRPr="00D133C3">
        <w:rPr>
          <w:rFonts w:ascii="Times New Roman" w:hAnsi="Times New Roman" w:cs="Times New Roman"/>
          <w:bCs/>
          <w:color w:val="000000" w:themeColor="text1"/>
          <w:sz w:val="21"/>
          <w:szCs w:val="21"/>
        </w:rPr>
        <w:t>083</w:t>
      </w:r>
      <w:r w:rsidR="00651D5A" w:rsidRPr="00D133C3">
        <w:rPr>
          <w:rFonts w:ascii="Times New Roman" w:hAnsi="Times New Roman" w:cs="Times New Roman"/>
          <w:bCs/>
          <w:color w:val="000000" w:themeColor="text1"/>
          <w:sz w:val="21"/>
          <w:szCs w:val="21"/>
        </w:rPr>
        <w:t xml:space="preserve"> vs. control and both monotherapies). Mechanistically, combination treatment markedly increased p53 and </w:t>
      </w:r>
      <w:proofErr w:type="spellStart"/>
      <w:r w:rsidR="00651D5A" w:rsidRPr="00D133C3">
        <w:rPr>
          <w:rFonts w:ascii="Times New Roman" w:hAnsi="Times New Roman" w:cs="Times New Roman"/>
          <w:bCs/>
          <w:color w:val="000000" w:themeColor="text1"/>
          <w:sz w:val="21"/>
          <w:szCs w:val="21"/>
        </w:rPr>
        <w:t>Bax</w:t>
      </w:r>
      <w:proofErr w:type="spellEnd"/>
      <w:r w:rsidR="00651D5A" w:rsidRPr="00D133C3">
        <w:rPr>
          <w:rFonts w:ascii="Times New Roman" w:hAnsi="Times New Roman" w:cs="Times New Roman"/>
          <w:bCs/>
          <w:color w:val="000000" w:themeColor="text1"/>
          <w:sz w:val="21"/>
          <w:szCs w:val="21"/>
        </w:rPr>
        <w:t xml:space="preserve"> levels, decreased Bcl-2 and MDM2, and activated caspase-9. These changes were associated with transcriptional upregulation of </w:t>
      </w:r>
      <w:r w:rsidR="00651D5A" w:rsidRPr="00D133C3">
        <w:rPr>
          <w:rFonts w:ascii="Times New Roman" w:hAnsi="Times New Roman" w:cs="Times New Roman"/>
          <w:bCs/>
          <w:i/>
          <w:color w:val="000000" w:themeColor="text1"/>
          <w:sz w:val="21"/>
          <w:szCs w:val="21"/>
        </w:rPr>
        <w:t>TP53</w:t>
      </w:r>
      <w:r w:rsidR="00651D5A" w:rsidRPr="00D133C3">
        <w:rPr>
          <w:rFonts w:ascii="Times New Roman" w:hAnsi="Times New Roman" w:cs="Times New Roman"/>
          <w:bCs/>
          <w:color w:val="000000" w:themeColor="text1"/>
          <w:sz w:val="21"/>
          <w:szCs w:val="21"/>
        </w:rPr>
        <w:t xml:space="preserve"> and </w:t>
      </w:r>
      <w:r w:rsidR="00651D5A" w:rsidRPr="00D133C3">
        <w:rPr>
          <w:rFonts w:ascii="Times New Roman" w:hAnsi="Times New Roman" w:cs="Times New Roman"/>
          <w:bCs/>
          <w:i/>
          <w:color w:val="000000" w:themeColor="text1"/>
          <w:sz w:val="21"/>
          <w:szCs w:val="21"/>
        </w:rPr>
        <w:t>BAX</w:t>
      </w:r>
      <w:r w:rsidR="00651D5A" w:rsidRPr="00D133C3">
        <w:rPr>
          <w:rFonts w:ascii="Times New Roman" w:hAnsi="Times New Roman" w:cs="Times New Roman"/>
          <w:bCs/>
          <w:color w:val="000000" w:themeColor="text1"/>
          <w:sz w:val="21"/>
          <w:szCs w:val="21"/>
        </w:rPr>
        <w:t xml:space="preserve">, and downregulation of </w:t>
      </w:r>
      <w:r w:rsidR="00651D5A" w:rsidRPr="00D133C3">
        <w:rPr>
          <w:rFonts w:ascii="Times New Roman" w:hAnsi="Times New Roman" w:cs="Times New Roman"/>
          <w:bCs/>
          <w:i/>
          <w:color w:val="000000" w:themeColor="text1"/>
          <w:sz w:val="21"/>
          <w:szCs w:val="21"/>
        </w:rPr>
        <w:t>MDM2</w:t>
      </w:r>
      <w:r w:rsidR="00651D5A" w:rsidRPr="00D133C3">
        <w:rPr>
          <w:rFonts w:ascii="Times New Roman" w:hAnsi="Times New Roman" w:cs="Times New Roman"/>
          <w:bCs/>
          <w:color w:val="000000" w:themeColor="text1"/>
          <w:sz w:val="21"/>
          <w:szCs w:val="21"/>
        </w:rPr>
        <w:t xml:space="preserve"> and </w:t>
      </w:r>
      <w:r w:rsidR="00651D5A" w:rsidRPr="00D133C3">
        <w:rPr>
          <w:rFonts w:ascii="Times New Roman" w:hAnsi="Times New Roman" w:cs="Times New Roman"/>
          <w:bCs/>
          <w:i/>
          <w:color w:val="000000" w:themeColor="text1"/>
          <w:sz w:val="21"/>
          <w:szCs w:val="21"/>
        </w:rPr>
        <w:t>BCL2</w:t>
      </w:r>
      <w:r w:rsidR="00651D5A" w:rsidRPr="00D133C3">
        <w:rPr>
          <w:rFonts w:ascii="Times New Roman" w:hAnsi="Times New Roman" w:cs="Times New Roman"/>
          <w:bCs/>
          <w:color w:val="000000" w:themeColor="text1"/>
          <w:sz w:val="21"/>
          <w:szCs w:val="21"/>
        </w:rPr>
        <w:t>, indicating modulation of the p53/MDM2/Bcl-2 axis.</w:t>
      </w:r>
    </w:p>
    <w:p w14:paraId="72AA9F54" w14:textId="28C237EB" w:rsidR="008778EA" w:rsidRPr="00D133C3" w:rsidRDefault="008778EA" w:rsidP="008778EA">
      <w:pPr>
        <w:widowControl w:val="0"/>
        <w:spacing w:after="0" w:line="240" w:lineRule="auto"/>
        <w:jc w:val="both"/>
        <w:rPr>
          <w:rFonts w:ascii="Times New Roman" w:hAnsi="Times New Roman" w:cs="Times New Roman"/>
          <w:b/>
          <w:bCs/>
          <w:color w:val="000000" w:themeColor="text1"/>
          <w:sz w:val="21"/>
          <w:szCs w:val="21"/>
        </w:rPr>
      </w:pPr>
      <w:r w:rsidRPr="00D133C3">
        <w:rPr>
          <w:rFonts w:ascii="Times New Roman" w:hAnsi="Times New Roman" w:cs="Times New Roman"/>
          <w:b/>
          <w:bCs/>
          <w:color w:val="000000" w:themeColor="text1"/>
          <w:sz w:val="21"/>
          <w:szCs w:val="21"/>
        </w:rPr>
        <w:t xml:space="preserve">Conclusion: </w:t>
      </w:r>
      <w:r w:rsidR="00651D5A" w:rsidRPr="00D133C3">
        <w:rPr>
          <w:rFonts w:ascii="Times New Roman" w:hAnsi="Times New Roman" w:cs="Times New Roman"/>
          <w:color w:val="000000" w:themeColor="text1"/>
          <w:sz w:val="21"/>
          <w:szCs w:val="21"/>
        </w:rPr>
        <w:t>JO-122(2) exerts potent antitumor effects in GBM, particularly when combined with TMZ, by promoting mitochondrial apoptosis through coordinated regulation of p53 and its downstream effectors.</w:t>
      </w:r>
    </w:p>
    <w:p w14:paraId="16AF4E68" w14:textId="77777777" w:rsidR="008778EA" w:rsidRPr="00D133C3" w:rsidRDefault="008778EA" w:rsidP="008778EA">
      <w:pPr>
        <w:widowControl w:val="0"/>
        <w:spacing w:after="0" w:line="240" w:lineRule="auto"/>
        <w:jc w:val="center"/>
        <w:rPr>
          <w:rFonts w:ascii="Times New Roman" w:hAnsi="Times New Roman" w:cs="Times New Roman"/>
          <w:b/>
          <w:bCs/>
          <w:color w:val="000000" w:themeColor="text1"/>
          <w:sz w:val="8"/>
          <w:szCs w:val="8"/>
        </w:rPr>
      </w:pPr>
    </w:p>
    <w:p w14:paraId="0CA83DFE" w14:textId="63651973" w:rsidR="008425DA" w:rsidRPr="00D133C3" w:rsidRDefault="008425DA" w:rsidP="008425DA">
      <w:pPr>
        <w:widowControl w:val="0"/>
        <w:pBdr>
          <w:top w:val="single" w:sz="4" w:space="1" w:color="auto"/>
        </w:pBdr>
        <w:spacing w:after="0" w:line="240" w:lineRule="auto"/>
        <w:rPr>
          <w:rFonts w:ascii="Times New Roman" w:hAnsi="Times New Roman" w:cs="Times New Roman"/>
          <w:color w:val="000000" w:themeColor="text1"/>
          <w:sz w:val="18"/>
          <w:szCs w:val="18"/>
        </w:rPr>
      </w:pPr>
      <w:r w:rsidRPr="00D133C3">
        <w:rPr>
          <w:rFonts w:ascii="Times New Roman" w:hAnsi="Times New Roman" w:cs="Times New Roman"/>
          <w:i/>
          <w:iCs/>
          <w:color w:val="000000" w:themeColor="text1"/>
          <w:sz w:val="18"/>
          <w:szCs w:val="18"/>
        </w:rPr>
        <w:t>Keywords:</w:t>
      </w:r>
      <w:r w:rsidRPr="00D133C3">
        <w:rPr>
          <w:rFonts w:ascii="Times New Roman" w:hAnsi="Times New Roman" w:cs="Times New Roman"/>
          <w:b/>
          <w:bCs/>
          <w:color w:val="000000" w:themeColor="text1"/>
          <w:sz w:val="18"/>
          <w:szCs w:val="18"/>
        </w:rPr>
        <w:t xml:space="preserve"> </w:t>
      </w:r>
      <w:r w:rsidR="004278DA" w:rsidRPr="00D133C3">
        <w:rPr>
          <w:rFonts w:ascii="Times New Roman" w:hAnsi="Times New Roman" w:cs="Times New Roman"/>
          <w:b/>
          <w:bCs/>
          <w:color w:val="000000" w:themeColor="text1"/>
          <w:sz w:val="18"/>
          <w:szCs w:val="18"/>
        </w:rPr>
        <w:t xml:space="preserve">Glioblastoma, </w:t>
      </w:r>
      <w:proofErr w:type="spellStart"/>
      <w:r w:rsidR="004278DA" w:rsidRPr="00D133C3">
        <w:rPr>
          <w:rFonts w:ascii="Times New Roman" w:hAnsi="Times New Roman" w:cs="Times New Roman"/>
          <w:b/>
          <w:bCs/>
          <w:color w:val="000000" w:themeColor="text1"/>
          <w:sz w:val="18"/>
          <w:szCs w:val="18"/>
        </w:rPr>
        <w:t>Temozolomide</w:t>
      </w:r>
      <w:proofErr w:type="spellEnd"/>
      <w:r w:rsidR="004278DA" w:rsidRPr="00D133C3">
        <w:rPr>
          <w:rFonts w:ascii="Times New Roman" w:hAnsi="Times New Roman" w:cs="Times New Roman"/>
          <w:b/>
          <w:bCs/>
          <w:color w:val="000000" w:themeColor="text1"/>
          <w:sz w:val="18"/>
          <w:szCs w:val="18"/>
        </w:rPr>
        <w:t xml:space="preserve">, Apoptosis, </w:t>
      </w:r>
      <w:proofErr w:type="spellStart"/>
      <w:r w:rsidR="004278DA" w:rsidRPr="00D133C3">
        <w:rPr>
          <w:rFonts w:ascii="Times New Roman" w:hAnsi="Times New Roman" w:cs="Times New Roman"/>
          <w:b/>
          <w:bCs/>
          <w:color w:val="000000" w:themeColor="text1"/>
          <w:sz w:val="18"/>
          <w:szCs w:val="18"/>
        </w:rPr>
        <w:t>Tropolone</w:t>
      </w:r>
      <w:proofErr w:type="spellEnd"/>
      <w:r w:rsidR="004278DA" w:rsidRPr="00D133C3">
        <w:rPr>
          <w:rFonts w:ascii="Times New Roman" w:hAnsi="Times New Roman" w:cs="Times New Roman"/>
          <w:b/>
          <w:bCs/>
          <w:color w:val="000000" w:themeColor="text1"/>
          <w:sz w:val="18"/>
          <w:szCs w:val="18"/>
        </w:rPr>
        <w:t>, p53</w:t>
      </w:r>
    </w:p>
    <w:p w14:paraId="2E3198FA" w14:textId="77777777" w:rsidR="008425DA" w:rsidRPr="00D133C3" w:rsidRDefault="008425DA" w:rsidP="008425DA">
      <w:pPr>
        <w:widowControl w:val="0"/>
        <w:spacing w:after="0" w:line="240" w:lineRule="auto"/>
        <w:jc w:val="center"/>
        <w:rPr>
          <w:rFonts w:ascii="Times New Roman" w:hAnsi="Times New Roman" w:cs="Times New Roman"/>
          <w:color w:val="000000" w:themeColor="text1"/>
          <w:sz w:val="24"/>
          <w:szCs w:val="24"/>
        </w:rPr>
      </w:pPr>
    </w:p>
    <w:p w14:paraId="3B2CC2E5" w14:textId="10760DC2" w:rsidR="008425DA" w:rsidRPr="00D133C3" w:rsidRDefault="004278DA" w:rsidP="004278DA">
      <w:pPr>
        <w:widowControl w:val="0"/>
        <w:spacing w:after="0" w:line="240" w:lineRule="auto"/>
        <w:jc w:val="center"/>
        <w:rPr>
          <w:rFonts w:ascii="Times New Roman" w:hAnsi="Times New Roman" w:cs="Times New Roman"/>
          <w:b/>
          <w:bCs/>
          <w:color w:val="000000" w:themeColor="text1"/>
          <w:sz w:val="24"/>
          <w:szCs w:val="24"/>
          <w:lang w:bidi="fa-IR"/>
        </w:rPr>
      </w:pPr>
      <w:r w:rsidRPr="00D133C3">
        <w:rPr>
          <w:rFonts w:ascii="Times New Roman" w:hAnsi="Times New Roman" w:cs="Times New Roman"/>
          <w:b/>
          <w:bCs/>
          <w:color w:val="000000" w:themeColor="text1"/>
          <w:sz w:val="24"/>
          <w:szCs w:val="24"/>
          <w:lang w:bidi="fa-IR"/>
        </w:rPr>
        <w:t>INTRODUCTION</w:t>
      </w:r>
    </w:p>
    <w:p w14:paraId="1F6F1705" w14:textId="3AB6CF06" w:rsidR="000B4FB3" w:rsidRPr="00D133C3" w:rsidRDefault="000B4FB3" w:rsidP="004278DA">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Glioblastoma (GBM), classified as a grade IV glioma by the World Health Organization (WHO), represents the most prevalent and aggressive form of primary brain tumor in adults [1]. It constitutes approximately 30% of all central nervous system (CNS) tumors and accounts for 80% of primary malignant neoplasms within this anatomical region [</w:t>
      </w:r>
      <w:r w:rsidR="00F7608A" w:rsidRPr="00D133C3">
        <w:rPr>
          <w:rFonts w:ascii="Times New Roman" w:hAnsi="Times New Roman" w:cs="Times New Roman"/>
          <w:bCs/>
          <w:color w:val="000000" w:themeColor="text1"/>
          <w:sz w:val="24"/>
          <w:szCs w:val="24"/>
          <w:lang w:bidi="fa-IR"/>
        </w:rPr>
        <w:t>2</w:t>
      </w:r>
      <w:r w:rsidRPr="00D133C3">
        <w:rPr>
          <w:rFonts w:ascii="Times New Roman" w:hAnsi="Times New Roman" w:cs="Times New Roman"/>
          <w:bCs/>
          <w:color w:val="000000" w:themeColor="text1"/>
          <w:sz w:val="24"/>
          <w:szCs w:val="24"/>
          <w:lang w:bidi="fa-IR"/>
        </w:rPr>
        <w:t>]. Despite current multimodal therapeutic strategies</w:t>
      </w:r>
      <w:r w:rsidR="00B033B3" w:rsidRPr="00D133C3">
        <w:rPr>
          <w:rFonts w:ascii="Times New Roman" w:hAnsi="Times New Roman" w:cs="Times New Roman"/>
          <w:bCs/>
          <w:color w:val="000000" w:themeColor="text1"/>
          <w:sz w:val="24"/>
          <w:szCs w:val="24"/>
          <w:lang w:bidi="fa-IR"/>
        </w:rPr>
        <w:t xml:space="preserve"> — </w:t>
      </w:r>
      <w:r w:rsidRPr="00D133C3">
        <w:rPr>
          <w:rFonts w:ascii="Times New Roman" w:hAnsi="Times New Roman" w:cs="Times New Roman"/>
          <w:bCs/>
          <w:color w:val="000000" w:themeColor="text1"/>
          <w:sz w:val="24"/>
          <w:szCs w:val="24"/>
          <w:lang w:bidi="fa-IR"/>
        </w:rPr>
        <w:t xml:space="preserve">comprising maximal safe surgical resection, concomitant radiotherapy, and adjuvant chemotherapy with </w:t>
      </w:r>
      <w:proofErr w:type="spellStart"/>
      <w:r w:rsidR="00AE1020" w:rsidRPr="00D133C3">
        <w:rPr>
          <w:rFonts w:ascii="Times New Roman" w:hAnsi="Times New Roman" w:cs="Times New Roman"/>
          <w:bCs/>
          <w:color w:val="000000" w:themeColor="text1"/>
          <w:sz w:val="24"/>
          <w:szCs w:val="21"/>
        </w:rPr>
        <w:t>temozolomide</w:t>
      </w:r>
      <w:proofErr w:type="spellEnd"/>
      <w:r w:rsidR="00AE1020" w:rsidRPr="00D133C3">
        <w:rPr>
          <w:rFonts w:ascii="Times New Roman" w:hAnsi="Times New Roman" w:cs="Times New Roman"/>
          <w:bCs/>
          <w:color w:val="000000" w:themeColor="text1"/>
          <w:sz w:val="24"/>
          <w:szCs w:val="21"/>
        </w:rPr>
        <w:t xml:space="preserve"> </w:t>
      </w:r>
      <w:r w:rsidR="00AE1020" w:rsidRPr="00D133C3">
        <w:rPr>
          <w:rFonts w:ascii="Times New Roman" w:hAnsi="Times New Roman" w:cs="Times New Roman"/>
          <w:bCs/>
          <w:color w:val="000000" w:themeColor="text1"/>
          <w:sz w:val="21"/>
          <w:szCs w:val="21"/>
        </w:rPr>
        <w:t>(</w:t>
      </w:r>
      <w:r w:rsidR="00656568" w:rsidRPr="00D133C3">
        <w:rPr>
          <w:rFonts w:ascii="Times New Roman" w:hAnsi="Times New Roman" w:cs="Times New Roman"/>
          <w:bCs/>
          <w:color w:val="000000" w:themeColor="text1"/>
          <w:sz w:val="24"/>
          <w:szCs w:val="24"/>
          <w:lang w:bidi="fa-IR"/>
        </w:rPr>
        <w:t>TMZ</w:t>
      </w:r>
      <w:r w:rsidR="00AE1020" w:rsidRPr="00D133C3">
        <w:rPr>
          <w:rFonts w:ascii="Times New Roman" w:hAnsi="Times New Roman" w:cs="Times New Roman"/>
          <w:bCs/>
          <w:color w:val="000000" w:themeColor="text1"/>
          <w:sz w:val="24"/>
          <w:szCs w:val="24"/>
          <w:lang w:bidi="fa-IR"/>
        </w:rPr>
        <w:t>)</w:t>
      </w:r>
      <w:r w:rsidR="00B033B3" w:rsidRPr="00D133C3">
        <w:rPr>
          <w:rFonts w:ascii="Times New Roman" w:hAnsi="Times New Roman" w:cs="Times New Roman"/>
          <w:bCs/>
          <w:color w:val="000000" w:themeColor="text1"/>
          <w:sz w:val="24"/>
          <w:szCs w:val="24"/>
          <w:lang w:bidi="fa-IR"/>
        </w:rPr>
        <w:t xml:space="preserve"> — </w:t>
      </w:r>
      <w:r w:rsidRPr="00D133C3">
        <w:rPr>
          <w:rFonts w:ascii="Times New Roman" w:hAnsi="Times New Roman" w:cs="Times New Roman"/>
          <w:bCs/>
          <w:color w:val="000000" w:themeColor="text1"/>
          <w:sz w:val="24"/>
          <w:szCs w:val="24"/>
          <w:lang w:bidi="fa-IR"/>
        </w:rPr>
        <w:t xml:space="preserve">the clinical prognosis remains dismal, with a median survival of only 15 to 18 </w:t>
      </w:r>
      <w:proofErr w:type="gramStart"/>
      <w:r w:rsidRPr="00D133C3">
        <w:rPr>
          <w:rFonts w:ascii="Times New Roman" w:hAnsi="Times New Roman" w:cs="Times New Roman"/>
          <w:bCs/>
          <w:color w:val="000000" w:themeColor="text1"/>
          <w:sz w:val="24"/>
          <w:szCs w:val="24"/>
          <w:lang w:bidi="fa-IR"/>
        </w:rPr>
        <w:t>months</w:t>
      </w:r>
      <w:proofErr w:type="gramEnd"/>
      <w:r w:rsidRPr="00D133C3">
        <w:rPr>
          <w:rFonts w:ascii="Times New Roman" w:hAnsi="Times New Roman" w:cs="Times New Roman"/>
          <w:bCs/>
          <w:color w:val="000000" w:themeColor="text1"/>
          <w:sz w:val="24"/>
          <w:szCs w:val="24"/>
          <w:lang w:bidi="fa-IR"/>
        </w:rPr>
        <w:t xml:space="preserve"> post-diagnosis </w:t>
      </w:r>
      <w:r w:rsidR="00400B86" w:rsidRPr="00D133C3">
        <w:rPr>
          <w:rFonts w:ascii="Times New Roman" w:hAnsi="Times New Roman" w:cs="Times New Roman"/>
          <w:bCs/>
          <w:color w:val="000000" w:themeColor="text1"/>
          <w:sz w:val="24"/>
          <w:szCs w:val="24"/>
          <w:lang w:bidi="fa-IR"/>
        </w:rPr>
        <w:t>[2, 3</w:t>
      </w:r>
      <w:r w:rsidRPr="00D133C3">
        <w:rPr>
          <w:rFonts w:ascii="Times New Roman" w:hAnsi="Times New Roman" w:cs="Times New Roman"/>
          <w:bCs/>
          <w:color w:val="000000" w:themeColor="text1"/>
          <w:sz w:val="24"/>
          <w:szCs w:val="24"/>
          <w:lang w:bidi="fa-IR"/>
        </w:rPr>
        <w:t>]. The standard adjuvant regimen relies on the synergistic cytotoxic effects of ionizing radiation and TMZ, both of which exert their antitumor activity through the induction of DNA damage in tumor cells [</w:t>
      </w:r>
      <w:r w:rsidR="00582A0D" w:rsidRPr="00D133C3">
        <w:rPr>
          <w:rFonts w:ascii="Times New Roman" w:hAnsi="Times New Roman" w:cs="Times New Roman"/>
          <w:bCs/>
          <w:color w:val="000000" w:themeColor="text1"/>
          <w:sz w:val="24"/>
          <w:szCs w:val="24"/>
          <w:lang w:bidi="fa-IR"/>
        </w:rPr>
        <w:t>2</w:t>
      </w:r>
      <w:r w:rsidRPr="00D133C3">
        <w:rPr>
          <w:rFonts w:ascii="Times New Roman" w:hAnsi="Times New Roman" w:cs="Times New Roman"/>
          <w:bCs/>
          <w:color w:val="000000" w:themeColor="text1"/>
          <w:sz w:val="24"/>
          <w:szCs w:val="24"/>
          <w:lang w:bidi="fa-IR"/>
        </w:rPr>
        <w:t>]. However, the intrinsic and acquired resistance mechanisms of GBM, particularly the upregulation of DNA repair pathways and the development of tolerance to radio- and chemotherapeutic agents, significantly compromise treatment efficacy. These limitations underscore the urgent need for novel therapeutic approaches with improved mechanisms of action and enhanced tumor selectivity.</w:t>
      </w:r>
    </w:p>
    <w:p w14:paraId="59BC60CD" w14:textId="13F74F61" w:rsidR="00AC5B56" w:rsidRPr="00D133C3" w:rsidRDefault="00915EA2" w:rsidP="004278DA">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 xml:space="preserve">In recent years, nitrogen-containing bicyclic heterocyclic compounds have emerged as promising </w:t>
      </w:r>
      <w:r w:rsidR="00840053" w:rsidRPr="00D133C3">
        <w:rPr>
          <w:rFonts w:ascii="Times New Roman" w:hAnsi="Times New Roman" w:cs="Times New Roman"/>
          <w:bCs/>
          <w:color w:val="000000" w:themeColor="text1"/>
          <w:sz w:val="24"/>
          <w:szCs w:val="24"/>
          <w:lang w:bidi="fa-IR"/>
        </w:rPr>
        <w:t xml:space="preserve">class of chemotherapeutic agents for the treatment of various malignancies </w:t>
      </w:r>
      <w:r w:rsidRPr="00D133C3">
        <w:rPr>
          <w:rFonts w:ascii="Times New Roman" w:hAnsi="Times New Roman" w:cs="Times New Roman"/>
          <w:bCs/>
          <w:color w:val="000000" w:themeColor="text1"/>
          <w:sz w:val="24"/>
          <w:szCs w:val="24"/>
          <w:lang w:bidi="fa-IR"/>
        </w:rPr>
        <w:t xml:space="preserve">[4]. Among these, </w:t>
      </w:r>
      <w:proofErr w:type="spellStart"/>
      <w:r w:rsidRPr="00D133C3">
        <w:rPr>
          <w:rFonts w:ascii="Times New Roman" w:hAnsi="Times New Roman" w:cs="Times New Roman"/>
          <w:bCs/>
          <w:color w:val="000000" w:themeColor="text1"/>
          <w:sz w:val="24"/>
          <w:szCs w:val="24"/>
          <w:lang w:bidi="fa-IR"/>
        </w:rPr>
        <w:t>tropolone</w:t>
      </w:r>
      <w:proofErr w:type="spellEnd"/>
      <w:r w:rsidRPr="00D133C3">
        <w:rPr>
          <w:rFonts w:ascii="Times New Roman" w:hAnsi="Times New Roman" w:cs="Times New Roman"/>
          <w:bCs/>
          <w:color w:val="000000" w:themeColor="text1"/>
          <w:sz w:val="24"/>
          <w:szCs w:val="24"/>
          <w:lang w:bidi="fa-IR"/>
        </w:rPr>
        <w:t xml:space="preserve"> derivatives have attracted considerable </w:t>
      </w:r>
      <w:r w:rsidR="00840053" w:rsidRPr="00D133C3">
        <w:rPr>
          <w:rFonts w:ascii="Times New Roman" w:hAnsi="Times New Roman" w:cs="Times New Roman"/>
          <w:bCs/>
          <w:color w:val="000000" w:themeColor="text1"/>
          <w:sz w:val="24"/>
          <w:szCs w:val="24"/>
          <w:lang w:bidi="fa-IR"/>
        </w:rPr>
        <w:t xml:space="preserve">scientific </w:t>
      </w:r>
      <w:r w:rsidRPr="00D133C3">
        <w:rPr>
          <w:rFonts w:ascii="Times New Roman" w:hAnsi="Times New Roman" w:cs="Times New Roman"/>
          <w:bCs/>
          <w:color w:val="000000" w:themeColor="text1"/>
          <w:sz w:val="24"/>
          <w:szCs w:val="24"/>
          <w:lang w:bidi="fa-IR"/>
        </w:rPr>
        <w:t xml:space="preserve">interest due to their </w:t>
      </w:r>
      <w:r w:rsidR="00840053" w:rsidRPr="00D133C3">
        <w:rPr>
          <w:rFonts w:ascii="Times New Roman" w:hAnsi="Times New Roman" w:cs="Times New Roman"/>
          <w:bCs/>
          <w:color w:val="000000" w:themeColor="text1"/>
          <w:sz w:val="24"/>
          <w:szCs w:val="24"/>
          <w:lang w:bidi="fa-IR"/>
        </w:rPr>
        <w:t>distinctive structural features and broad spectrum of biological activities</w:t>
      </w:r>
      <w:r w:rsidRPr="00D133C3">
        <w:rPr>
          <w:rFonts w:ascii="Times New Roman" w:hAnsi="Times New Roman" w:cs="Times New Roman"/>
          <w:bCs/>
          <w:color w:val="000000" w:themeColor="text1"/>
          <w:sz w:val="24"/>
          <w:szCs w:val="24"/>
          <w:lang w:bidi="fa-IR"/>
        </w:rPr>
        <w:t>, including antitumor, antiviral, anti-inflammatory</w:t>
      </w:r>
      <w:r w:rsidR="00840053" w:rsidRPr="00D133C3">
        <w:rPr>
          <w:rFonts w:ascii="Times New Roman" w:hAnsi="Times New Roman" w:cs="Times New Roman"/>
          <w:bCs/>
          <w:color w:val="000000" w:themeColor="text1"/>
          <w:sz w:val="24"/>
          <w:szCs w:val="24"/>
          <w:lang w:bidi="fa-IR"/>
        </w:rPr>
        <w:t>,</w:t>
      </w:r>
      <w:r w:rsidR="00840053" w:rsidRPr="00D133C3">
        <w:rPr>
          <w:color w:val="000000" w:themeColor="text1"/>
        </w:rPr>
        <w:t xml:space="preserve"> </w:t>
      </w:r>
      <w:r w:rsidR="00840053" w:rsidRPr="00D133C3">
        <w:rPr>
          <w:rFonts w:ascii="Times New Roman" w:hAnsi="Times New Roman" w:cs="Times New Roman"/>
          <w:bCs/>
          <w:color w:val="000000" w:themeColor="text1"/>
          <w:sz w:val="24"/>
          <w:szCs w:val="24"/>
          <w:lang w:bidi="fa-IR"/>
        </w:rPr>
        <w:t xml:space="preserve">insecticidal, and </w:t>
      </w:r>
      <w:r w:rsidRPr="00D133C3">
        <w:rPr>
          <w:rFonts w:ascii="Times New Roman" w:hAnsi="Times New Roman" w:cs="Times New Roman"/>
          <w:bCs/>
          <w:color w:val="000000" w:themeColor="text1"/>
          <w:sz w:val="24"/>
          <w:szCs w:val="24"/>
          <w:lang w:bidi="fa-IR"/>
        </w:rPr>
        <w:t xml:space="preserve">antioxidant effects [5–7]. </w:t>
      </w:r>
      <w:r w:rsidR="00840053" w:rsidRPr="00D133C3">
        <w:rPr>
          <w:rFonts w:ascii="Times New Roman" w:hAnsi="Times New Roman" w:cs="Times New Roman"/>
          <w:bCs/>
          <w:color w:val="000000" w:themeColor="text1"/>
          <w:sz w:val="24"/>
          <w:szCs w:val="24"/>
          <w:lang w:bidi="fa-IR"/>
        </w:rPr>
        <w:t xml:space="preserve">Their </w:t>
      </w:r>
      <w:proofErr w:type="spellStart"/>
      <w:r w:rsidR="00840053" w:rsidRPr="00D133C3">
        <w:rPr>
          <w:rFonts w:ascii="Times New Roman" w:hAnsi="Times New Roman" w:cs="Times New Roman"/>
          <w:bCs/>
          <w:color w:val="000000" w:themeColor="text1"/>
          <w:sz w:val="24"/>
          <w:szCs w:val="24"/>
          <w:lang w:bidi="fa-IR"/>
        </w:rPr>
        <w:t>polypharmacological</w:t>
      </w:r>
      <w:proofErr w:type="spellEnd"/>
      <w:r w:rsidR="00840053" w:rsidRPr="00D133C3">
        <w:rPr>
          <w:rFonts w:ascii="Times New Roman" w:hAnsi="Times New Roman" w:cs="Times New Roman"/>
          <w:bCs/>
          <w:color w:val="000000" w:themeColor="text1"/>
          <w:sz w:val="24"/>
          <w:szCs w:val="24"/>
          <w:lang w:bidi="fa-IR"/>
        </w:rPr>
        <w:t xml:space="preserve"> profile — mediated through inhibition of protein kinases, disruption of tubulin polymerization, and activation of apoptotic pathways [</w:t>
      </w:r>
      <w:r w:rsidR="007352C3" w:rsidRPr="00D133C3">
        <w:rPr>
          <w:rFonts w:ascii="Times New Roman" w:hAnsi="Times New Roman" w:cs="Times New Roman"/>
          <w:bCs/>
          <w:color w:val="000000" w:themeColor="text1"/>
          <w:sz w:val="24"/>
          <w:szCs w:val="24"/>
          <w:lang w:bidi="fa-IR"/>
        </w:rPr>
        <w:t>8</w:t>
      </w:r>
      <w:r w:rsidR="00840053" w:rsidRPr="00D133C3">
        <w:rPr>
          <w:rFonts w:ascii="Times New Roman" w:hAnsi="Times New Roman" w:cs="Times New Roman"/>
          <w:bCs/>
          <w:color w:val="000000" w:themeColor="text1"/>
          <w:sz w:val="24"/>
          <w:szCs w:val="24"/>
          <w:lang w:bidi="fa-IR"/>
        </w:rPr>
        <w:t xml:space="preserve">] — positions them as candidates for the development of new anticancer therapeutics </w:t>
      </w:r>
      <w:r w:rsidR="007352C3" w:rsidRPr="00D133C3">
        <w:rPr>
          <w:rFonts w:ascii="Times New Roman" w:hAnsi="Times New Roman" w:cs="Times New Roman"/>
          <w:bCs/>
          <w:color w:val="000000" w:themeColor="text1"/>
          <w:sz w:val="24"/>
          <w:szCs w:val="24"/>
          <w:lang w:bidi="fa-IR"/>
        </w:rPr>
        <w:t>[9</w:t>
      </w:r>
      <w:r w:rsidR="00840053" w:rsidRPr="00D133C3">
        <w:rPr>
          <w:rFonts w:ascii="Times New Roman" w:hAnsi="Times New Roman" w:cs="Times New Roman"/>
          <w:bCs/>
          <w:color w:val="000000" w:themeColor="text1"/>
          <w:sz w:val="24"/>
          <w:szCs w:val="24"/>
          <w:lang w:bidi="fa-IR"/>
        </w:rPr>
        <w:t>,</w:t>
      </w:r>
      <w:r w:rsidR="007352C3" w:rsidRPr="00D133C3">
        <w:rPr>
          <w:rFonts w:ascii="Times New Roman" w:hAnsi="Times New Roman" w:cs="Times New Roman"/>
          <w:bCs/>
          <w:color w:val="000000" w:themeColor="text1"/>
          <w:sz w:val="24"/>
          <w:szCs w:val="24"/>
          <w:lang w:bidi="fa-IR"/>
        </w:rPr>
        <w:t xml:space="preserve"> 10</w:t>
      </w:r>
      <w:r w:rsidR="00840053" w:rsidRPr="00D133C3">
        <w:rPr>
          <w:rFonts w:ascii="Times New Roman" w:hAnsi="Times New Roman" w:cs="Times New Roman"/>
          <w:bCs/>
          <w:color w:val="000000" w:themeColor="text1"/>
          <w:sz w:val="24"/>
          <w:szCs w:val="24"/>
          <w:lang w:bidi="fa-IR"/>
        </w:rPr>
        <w:t>].</w:t>
      </w:r>
      <w:r w:rsidR="00AC5B56" w:rsidRPr="00D133C3">
        <w:rPr>
          <w:rFonts w:ascii="Times New Roman" w:hAnsi="Times New Roman" w:cs="Times New Roman"/>
          <w:bCs/>
          <w:color w:val="000000" w:themeColor="text1"/>
          <w:sz w:val="24"/>
          <w:szCs w:val="24"/>
          <w:lang w:bidi="fa-IR"/>
        </w:rPr>
        <w:t xml:space="preserve"> </w:t>
      </w:r>
    </w:p>
    <w:p w14:paraId="2C5C5209" w14:textId="0D5A3199" w:rsidR="00AC5B56" w:rsidRPr="00D133C3" w:rsidRDefault="008D4594" w:rsidP="00AC5B56">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 xml:space="preserve">Of particular interest is the synthetic </w:t>
      </w:r>
      <w:proofErr w:type="spellStart"/>
      <w:r w:rsidRPr="00D133C3">
        <w:rPr>
          <w:rFonts w:ascii="Times New Roman" w:hAnsi="Times New Roman" w:cs="Times New Roman"/>
          <w:bCs/>
          <w:color w:val="000000" w:themeColor="text1"/>
          <w:sz w:val="24"/>
          <w:szCs w:val="24"/>
          <w:lang w:bidi="fa-IR"/>
        </w:rPr>
        <w:t>tropolone</w:t>
      </w:r>
      <w:proofErr w:type="spellEnd"/>
      <w:r w:rsidRPr="00D133C3">
        <w:rPr>
          <w:rFonts w:ascii="Times New Roman" w:hAnsi="Times New Roman" w:cs="Times New Roman"/>
          <w:bCs/>
          <w:color w:val="000000" w:themeColor="text1"/>
          <w:sz w:val="24"/>
          <w:szCs w:val="24"/>
          <w:lang w:bidi="fa-IR"/>
        </w:rPr>
        <w:t xml:space="preserve"> derivative 2-(1,1-dimethyl-1H-benzo[e]indolin-2-yl)-5,6,7-trichloro-1,3-tropolone (designated as JO-122(2)), developed at the Southern Federal University. Preclinical studies demonstrated potent antitumor activity in the PDX model of gastric adenocarcinoma and in the human glioblastoma U87MG xenograft model, suggesting potential </w:t>
      </w:r>
      <w:r w:rsidRPr="00D133C3">
        <w:rPr>
          <w:rFonts w:ascii="Times New Roman" w:hAnsi="Times New Roman" w:cs="Times New Roman"/>
          <w:bCs/>
          <w:color w:val="000000" w:themeColor="text1"/>
          <w:sz w:val="24"/>
          <w:szCs w:val="24"/>
          <w:lang w:bidi="fa-IR"/>
        </w:rPr>
        <w:lastRenderedPageBreak/>
        <w:t>efficacy against other aggressive tumors as well [11</w:t>
      </w:r>
      <w:r w:rsidR="00455FD6" w:rsidRPr="00D133C3">
        <w:rPr>
          <w:rFonts w:ascii="Times New Roman" w:hAnsi="Times New Roman" w:cs="Times New Roman"/>
          <w:bCs/>
          <w:color w:val="000000" w:themeColor="text1"/>
          <w:sz w:val="24"/>
          <w:szCs w:val="24"/>
          <w:lang w:bidi="fa-IR"/>
        </w:rPr>
        <w:t>, 12</w:t>
      </w:r>
      <w:r w:rsidRPr="00D133C3">
        <w:rPr>
          <w:rFonts w:ascii="Times New Roman" w:hAnsi="Times New Roman" w:cs="Times New Roman"/>
          <w:bCs/>
          <w:color w:val="000000" w:themeColor="text1"/>
          <w:sz w:val="24"/>
          <w:szCs w:val="24"/>
          <w:lang w:bidi="fa-IR"/>
        </w:rPr>
        <w:t xml:space="preserve">]. </w:t>
      </w:r>
      <w:r w:rsidR="00840053" w:rsidRPr="00D133C3">
        <w:rPr>
          <w:rFonts w:ascii="Times New Roman" w:hAnsi="Times New Roman" w:cs="Times New Roman"/>
          <w:bCs/>
          <w:color w:val="000000" w:themeColor="text1"/>
          <w:sz w:val="24"/>
          <w:szCs w:val="24"/>
          <w:lang w:bidi="fa-IR"/>
        </w:rPr>
        <w:t xml:space="preserve">Related </w:t>
      </w:r>
      <w:proofErr w:type="spellStart"/>
      <w:r w:rsidR="00840053" w:rsidRPr="00D133C3">
        <w:rPr>
          <w:rFonts w:ascii="Times New Roman" w:hAnsi="Times New Roman" w:cs="Times New Roman"/>
          <w:bCs/>
          <w:color w:val="000000" w:themeColor="text1"/>
          <w:sz w:val="24"/>
          <w:szCs w:val="24"/>
          <w:lang w:bidi="fa-IR"/>
        </w:rPr>
        <w:t>tropolone</w:t>
      </w:r>
      <w:proofErr w:type="spellEnd"/>
      <w:r w:rsidR="00840053" w:rsidRPr="00D133C3">
        <w:rPr>
          <w:rFonts w:ascii="Times New Roman" w:hAnsi="Times New Roman" w:cs="Times New Roman"/>
          <w:bCs/>
          <w:color w:val="000000" w:themeColor="text1"/>
          <w:sz w:val="24"/>
          <w:szCs w:val="24"/>
          <w:lang w:bidi="fa-IR"/>
        </w:rPr>
        <w:t xml:space="preserve"> derivatives exhibit diverse anticancer mechanisms: </w:t>
      </w:r>
      <w:proofErr w:type="spellStart"/>
      <w:r w:rsidR="00840053" w:rsidRPr="00D133C3">
        <w:rPr>
          <w:rFonts w:ascii="Times New Roman" w:hAnsi="Times New Roman" w:cs="Times New Roman"/>
          <w:bCs/>
          <w:color w:val="000000" w:themeColor="text1"/>
          <w:sz w:val="24"/>
          <w:szCs w:val="24"/>
          <w:lang w:bidi="fa-IR"/>
        </w:rPr>
        <w:t>hinokitiol</w:t>
      </w:r>
      <w:proofErr w:type="spellEnd"/>
      <w:r w:rsidR="00840053" w:rsidRPr="00D133C3">
        <w:rPr>
          <w:rFonts w:ascii="Times New Roman" w:hAnsi="Times New Roman" w:cs="Times New Roman"/>
          <w:bCs/>
          <w:color w:val="000000" w:themeColor="text1"/>
          <w:sz w:val="24"/>
          <w:szCs w:val="24"/>
          <w:lang w:bidi="fa-IR"/>
        </w:rPr>
        <w:t xml:space="preserve"> suppresses migration in lung cancer via NF-</w:t>
      </w:r>
      <w:proofErr w:type="spellStart"/>
      <w:r w:rsidR="00840053" w:rsidRPr="00D133C3">
        <w:rPr>
          <w:rFonts w:ascii="Times New Roman" w:hAnsi="Times New Roman" w:cs="Times New Roman"/>
          <w:bCs/>
          <w:color w:val="000000" w:themeColor="text1"/>
          <w:sz w:val="24"/>
          <w:szCs w:val="24"/>
          <w:lang w:bidi="fa-IR"/>
        </w:rPr>
        <w:t>κB</w:t>
      </w:r>
      <w:proofErr w:type="spellEnd"/>
      <w:r w:rsidR="00840053" w:rsidRPr="00D133C3">
        <w:rPr>
          <w:rFonts w:ascii="Times New Roman" w:hAnsi="Times New Roman" w:cs="Times New Roman"/>
          <w:bCs/>
          <w:color w:val="000000" w:themeColor="text1"/>
          <w:sz w:val="24"/>
          <w:szCs w:val="24"/>
          <w:lang w:bidi="fa-IR"/>
        </w:rPr>
        <w:t xml:space="preserve"> and MMPs [1</w:t>
      </w:r>
      <w:r w:rsidR="00455FD6" w:rsidRPr="00D133C3">
        <w:rPr>
          <w:rFonts w:ascii="Times New Roman" w:hAnsi="Times New Roman" w:cs="Times New Roman"/>
          <w:bCs/>
          <w:color w:val="000000" w:themeColor="text1"/>
          <w:sz w:val="24"/>
          <w:szCs w:val="24"/>
          <w:lang w:bidi="fa-IR"/>
        </w:rPr>
        <w:t>3</w:t>
      </w:r>
      <w:r w:rsidR="00840053" w:rsidRPr="00D133C3">
        <w:rPr>
          <w:rFonts w:ascii="Times New Roman" w:hAnsi="Times New Roman" w:cs="Times New Roman"/>
          <w:bCs/>
          <w:color w:val="000000" w:themeColor="text1"/>
          <w:sz w:val="24"/>
          <w:szCs w:val="24"/>
          <w:lang w:bidi="fa-IR"/>
        </w:rPr>
        <w:t>], copper-</w:t>
      </w:r>
      <w:proofErr w:type="spellStart"/>
      <w:r w:rsidR="00840053" w:rsidRPr="00D133C3">
        <w:rPr>
          <w:rFonts w:ascii="Times New Roman" w:hAnsi="Times New Roman" w:cs="Times New Roman"/>
          <w:bCs/>
          <w:color w:val="000000" w:themeColor="text1"/>
          <w:sz w:val="24"/>
          <w:szCs w:val="24"/>
          <w:lang w:bidi="fa-IR"/>
        </w:rPr>
        <w:t>tropolone</w:t>
      </w:r>
      <w:proofErr w:type="spellEnd"/>
      <w:r w:rsidR="00840053" w:rsidRPr="00D133C3">
        <w:rPr>
          <w:rFonts w:ascii="Times New Roman" w:hAnsi="Times New Roman" w:cs="Times New Roman"/>
          <w:bCs/>
          <w:color w:val="000000" w:themeColor="text1"/>
          <w:sz w:val="24"/>
          <w:szCs w:val="24"/>
          <w:lang w:bidi="fa-IR"/>
        </w:rPr>
        <w:t xml:space="preserve"> complexes outperform cisplatin in breast cancer models [5], and </w:t>
      </w:r>
      <w:proofErr w:type="spellStart"/>
      <w:r w:rsidR="00AC5B56" w:rsidRPr="00D133C3">
        <w:rPr>
          <w:rFonts w:ascii="Times New Roman" w:hAnsi="Times New Roman" w:cs="Times New Roman"/>
          <w:bCs/>
          <w:color w:val="000000" w:themeColor="text1"/>
          <w:sz w:val="24"/>
          <w:szCs w:val="24"/>
          <w:lang w:bidi="fa-IR"/>
        </w:rPr>
        <w:t>quinoline</w:t>
      </w:r>
      <w:proofErr w:type="spellEnd"/>
      <w:r w:rsidR="00AC5B56" w:rsidRPr="00D133C3">
        <w:rPr>
          <w:rFonts w:ascii="Times New Roman" w:hAnsi="Times New Roman" w:cs="Times New Roman"/>
          <w:bCs/>
          <w:color w:val="000000" w:themeColor="text1"/>
          <w:sz w:val="24"/>
          <w:szCs w:val="24"/>
          <w:lang w:bidi="fa-IR"/>
        </w:rPr>
        <w:t xml:space="preserve">-substituted </w:t>
      </w:r>
      <w:proofErr w:type="spellStart"/>
      <w:r w:rsidR="00AC5B56" w:rsidRPr="00D133C3">
        <w:rPr>
          <w:rFonts w:ascii="Times New Roman" w:hAnsi="Times New Roman" w:cs="Times New Roman"/>
          <w:bCs/>
          <w:color w:val="000000" w:themeColor="text1"/>
          <w:sz w:val="24"/>
          <w:szCs w:val="24"/>
          <w:lang w:bidi="fa-IR"/>
        </w:rPr>
        <w:t>trichlorotropolone</w:t>
      </w:r>
      <w:proofErr w:type="spellEnd"/>
      <w:r w:rsidR="00AC5B56" w:rsidRPr="00D133C3">
        <w:rPr>
          <w:rFonts w:ascii="Times New Roman" w:hAnsi="Times New Roman" w:cs="Times New Roman"/>
          <w:bCs/>
          <w:color w:val="000000" w:themeColor="text1"/>
          <w:sz w:val="24"/>
          <w:szCs w:val="24"/>
          <w:lang w:bidi="fa-IR"/>
        </w:rPr>
        <w:t xml:space="preserve"> derivative </w:t>
      </w:r>
      <w:r w:rsidR="00840053" w:rsidRPr="00D133C3">
        <w:rPr>
          <w:rFonts w:ascii="Times New Roman" w:hAnsi="Times New Roman" w:cs="Times New Roman"/>
          <w:bCs/>
          <w:color w:val="000000" w:themeColor="text1"/>
          <w:sz w:val="24"/>
          <w:szCs w:val="24"/>
          <w:lang w:bidi="fa-IR"/>
        </w:rPr>
        <w:t>show efficacy in non-small cell lung cancer [1</w:t>
      </w:r>
      <w:r w:rsidR="00455FD6" w:rsidRPr="00D133C3">
        <w:rPr>
          <w:rFonts w:ascii="Times New Roman" w:hAnsi="Times New Roman" w:cs="Times New Roman"/>
          <w:bCs/>
          <w:color w:val="000000" w:themeColor="text1"/>
          <w:sz w:val="24"/>
          <w:szCs w:val="24"/>
          <w:lang w:bidi="fa-IR"/>
        </w:rPr>
        <w:t>4</w:t>
      </w:r>
      <w:r w:rsidR="00840053" w:rsidRPr="00D133C3">
        <w:rPr>
          <w:rFonts w:ascii="Times New Roman" w:hAnsi="Times New Roman" w:cs="Times New Roman"/>
          <w:bCs/>
          <w:color w:val="000000" w:themeColor="text1"/>
          <w:sz w:val="24"/>
          <w:szCs w:val="24"/>
          <w:lang w:bidi="fa-IR"/>
        </w:rPr>
        <w:t>]. These findings underscore the class-wide potential for targeting key oncogenic pathways.</w:t>
      </w:r>
    </w:p>
    <w:p w14:paraId="48DA8EA3" w14:textId="4B022543" w:rsidR="00AC5B56" w:rsidRPr="00D133C3" w:rsidRDefault="00AC5B56" w:rsidP="00AC5B56">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 xml:space="preserve">Given the urgent need for more effective therapies in GBM, this study evaluates the antitumor activity of JO-122(2) both as monotherapy and in combination with </w:t>
      </w:r>
      <w:proofErr w:type="spellStart"/>
      <w:r w:rsidRPr="00D133C3">
        <w:rPr>
          <w:rFonts w:ascii="Times New Roman" w:hAnsi="Times New Roman" w:cs="Times New Roman"/>
          <w:bCs/>
          <w:color w:val="000000" w:themeColor="text1"/>
          <w:sz w:val="24"/>
          <w:szCs w:val="24"/>
          <w:lang w:bidi="fa-IR"/>
        </w:rPr>
        <w:t>temozolomide</w:t>
      </w:r>
      <w:proofErr w:type="spellEnd"/>
      <w:r w:rsidRPr="00D133C3">
        <w:rPr>
          <w:rFonts w:ascii="Times New Roman" w:hAnsi="Times New Roman" w:cs="Times New Roman"/>
          <w:bCs/>
          <w:color w:val="000000" w:themeColor="text1"/>
          <w:sz w:val="24"/>
          <w:szCs w:val="24"/>
          <w:lang w:bidi="fa-IR"/>
        </w:rPr>
        <w:t xml:space="preserve"> in a U87MG xenograft model. We further investigate the molecular mechanisms underlying its effects, focusing on key regulators of apoptosis: p53, MDM2, Bcl-2/</w:t>
      </w:r>
      <w:proofErr w:type="spellStart"/>
      <w:r w:rsidRPr="00D133C3">
        <w:rPr>
          <w:rFonts w:ascii="Times New Roman" w:hAnsi="Times New Roman" w:cs="Times New Roman"/>
          <w:bCs/>
          <w:color w:val="000000" w:themeColor="text1"/>
          <w:sz w:val="24"/>
          <w:szCs w:val="24"/>
          <w:lang w:bidi="fa-IR"/>
        </w:rPr>
        <w:t>Bax</w:t>
      </w:r>
      <w:proofErr w:type="spellEnd"/>
      <w:r w:rsidRPr="00D133C3">
        <w:rPr>
          <w:rFonts w:ascii="Times New Roman" w:hAnsi="Times New Roman" w:cs="Times New Roman"/>
          <w:bCs/>
          <w:color w:val="000000" w:themeColor="text1"/>
          <w:sz w:val="24"/>
          <w:szCs w:val="24"/>
          <w:lang w:bidi="fa-IR"/>
        </w:rPr>
        <w:t xml:space="preserve"> ratio, and caspase-9 activation.</w:t>
      </w:r>
    </w:p>
    <w:p w14:paraId="637A81CA" w14:textId="65289B7D" w:rsidR="008408BF" w:rsidRPr="00D133C3" w:rsidRDefault="008408BF" w:rsidP="004278DA">
      <w:pPr>
        <w:widowControl w:val="0"/>
        <w:spacing w:after="0" w:line="240" w:lineRule="auto"/>
        <w:jc w:val="both"/>
        <w:rPr>
          <w:rFonts w:ascii="Times New Roman" w:hAnsi="Times New Roman" w:cs="Times New Roman"/>
          <w:bCs/>
          <w:color w:val="000000" w:themeColor="text1"/>
          <w:sz w:val="24"/>
          <w:szCs w:val="24"/>
          <w:lang w:bidi="fa-IR"/>
        </w:rPr>
      </w:pPr>
    </w:p>
    <w:p w14:paraId="2614AE2B" w14:textId="112A6D07" w:rsidR="004278DA" w:rsidRPr="00D133C3" w:rsidRDefault="004278DA" w:rsidP="004278DA">
      <w:pPr>
        <w:widowControl w:val="0"/>
        <w:spacing w:after="0" w:line="240" w:lineRule="auto"/>
        <w:jc w:val="center"/>
        <w:rPr>
          <w:rFonts w:ascii="Times New Roman" w:hAnsi="Times New Roman" w:cs="Times New Roman"/>
          <w:b/>
          <w:bCs/>
          <w:color w:val="000000" w:themeColor="text1"/>
          <w:sz w:val="24"/>
          <w:szCs w:val="24"/>
          <w:lang w:bidi="fa-IR"/>
        </w:rPr>
      </w:pPr>
      <w:r w:rsidRPr="00D133C3">
        <w:rPr>
          <w:rFonts w:ascii="Times New Roman" w:hAnsi="Times New Roman" w:cs="Times New Roman"/>
          <w:b/>
          <w:bCs/>
          <w:color w:val="000000" w:themeColor="text1"/>
          <w:sz w:val="24"/>
          <w:szCs w:val="24"/>
          <w:lang w:bidi="fa-IR"/>
        </w:rPr>
        <w:t>MATERIALS AND METHODS</w:t>
      </w:r>
    </w:p>
    <w:p w14:paraId="3CA8AE0D" w14:textId="77777777" w:rsidR="004278DA" w:rsidRPr="00D133C3" w:rsidRDefault="004278DA" w:rsidP="004278DA">
      <w:pPr>
        <w:widowControl w:val="0"/>
        <w:spacing w:after="0" w:line="240" w:lineRule="auto"/>
        <w:jc w:val="both"/>
        <w:rPr>
          <w:rFonts w:ascii="Times New Roman" w:hAnsi="Times New Roman" w:cs="Times New Roman"/>
          <w:b/>
          <w:bCs/>
          <w:i/>
          <w:color w:val="000000" w:themeColor="text1"/>
          <w:sz w:val="24"/>
          <w:szCs w:val="24"/>
          <w:lang w:bidi="fa-IR"/>
        </w:rPr>
      </w:pPr>
      <w:r w:rsidRPr="00D133C3">
        <w:rPr>
          <w:rFonts w:ascii="Times New Roman" w:hAnsi="Times New Roman" w:cs="Times New Roman"/>
          <w:b/>
          <w:bCs/>
          <w:i/>
          <w:color w:val="000000" w:themeColor="text1"/>
          <w:sz w:val="24"/>
          <w:szCs w:val="24"/>
          <w:lang w:bidi="fa-IR"/>
        </w:rPr>
        <w:t>Chemicals and Reagents</w:t>
      </w:r>
    </w:p>
    <w:p w14:paraId="0DAA5B34" w14:textId="5F8DEDBB" w:rsidR="00FC14DF" w:rsidRPr="00D133C3" w:rsidRDefault="00FC14DF" w:rsidP="004278DA">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 xml:space="preserve">The </w:t>
      </w:r>
      <w:proofErr w:type="spellStart"/>
      <w:r w:rsidRPr="00D133C3">
        <w:rPr>
          <w:rFonts w:ascii="Times New Roman" w:hAnsi="Times New Roman" w:cs="Times New Roman"/>
          <w:bCs/>
          <w:color w:val="000000" w:themeColor="text1"/>
          <w:sz w:val="24"/>
          <w:szCs w:val="24"/>
          <w:lang w:bidi="fa-IR"/>
        </w:rPr>
        <w:t>tropolone</w:t>
      </w:r>
      <w:proofErr w:type="spellEnd"/>
      <w:r w:rsidRPr="00D133C3">
        <w:rPr>
          <w:rFonts w:ascii="Times New Roman" w:hAnsi="Times New Roman" w:cs="Times New Roman"/>
          <w:bCs/>
          <w:color w:val="000000" w:themeColor="text1"/>
          <w:sz w:val="24"/>
          <w:szCs w:val="24"/>
          <w:lang w:bidi="fa-IR"/>
        </w:rPr>
        <w:t xml:space="preserve"> derivative JO-122(2) was synthesized at the Research Institute of Physical and Organic Chemistry, Southern Federal University (Rostov-</w:t>
      </w:r>
      <w:proofErr w:type="gramStart"/>
      <w:r w:rsidRPr="00D133C3">
        <w:rPr>
          <w:rFonts w:ascii="Times New Roman" w:hAnsi="Times New Roman" w:cs="Times New Roman"/>
          <w:bCs/>
          <w:color w:val="000000" w:themeColor="text1"/>
          <w:sz w:val="24"/>
          <w:szCs w:val="24"/>
          <w:lang w:bidi="fa-IR"/>
        </w:rPr>
        <w:t>on</w:t>
      </w:r>
      <w:proofErr w:type="gramEnd"/>
      <w:r w:rsidRPr="00D133C3">
        <w:rPr>
          <w:rFonts w:ascii="Times New Roman" w:hAnsi="Times New Roman" w:cs="Times New Roman"/>
          <w:bCs/>
          <w:color w:val="000000" w:themeColor="text1"/>
          <w:sz w:val="24"/>
          <w:szCs w:val="24"/>
          <w:lang w:bidi="fa-IR"/>
        </w:rPr>
        <w:t xml:space="preserve">-Don, Russia). </w:t>
      </w:r>
      <w:r w:rsidR="002F6E66" w:rsidRPr="00D133C3">
        <w:rPr>
          <w:rFonts w:ascii="Times New Roman" w:hAnsi="Times New Roman" w:cs="Times New Roman"/>
          <w:bCs/>
          <w:color w:val="000000" w:themeColor="text1"/>
          <w:sz w:val="24"/>
          <w:szCs w:val="24"/>
          <w:lang w:bidi="fa-IR"/>
        </w:rPr>
        <w:t>TMZ</w:t>
      </w:r>
      <w:r w:rsidRPr="00D133C3">
        <w:rPr>
          <w:rFonts w:ascii="Times New Roman" w:hAnsi="Times New Roman" w:cs="Times New Roman"/>
          <w:bCs/>
          <w:color w:val="000000" w:themeColor="text1"/>
          <w:sz w:val="24"/>
          <w:szCs w:val="24"/>
          <w:lang w:bidi="fa-IR"/>
        </w:rPr>
        <w:t xml:space="preserve"> was purchased from BIOCAD (Saint Petersburg, Russia). </w:t>
      </w:r>
      <w:r w:rsidR="007352C3" w:rsidRPr="00D133C3">
        <w:rPr>
          <w:rFonts w:ascii="Times New Roman" w:hAnsi="Times New Roman" w:cs="Times New Roman"/>
          <w:bCs/>
          <w:color w:val="000000" w:themeColor="text1"/>
          <w:sz w:val="24"/>
          <w:szCs w:val="24"/>
          <w:lang w:bidi="fa-IR"/>
        </w:rPr>
        <w:t>DMSO</w:t>
      </w:r>
      <w:r w:rsidRPr="00D133C3">
        <w:rPr>
          <w:rFonts w:ascii="Times New Roman" w:hAnsi="Times New Roman" w:cs="Times New Roman"/>
          <w:bCs/>
          <w:color w:val="000000" w:themeColor="text1"/>
          <w:sz w:val="24"/>
          <w:szCs w:val="24"/>
          <w:lang w:bidi="fa-IR"/>
        </w:rPr>
        <w:t xml:space="preserve"> was obtained from </w:t>
      </w:r>
      <w:proofErr w:type="spellStart"/>
      <w:r w:rsidRPr="00D133C3">
        <w:rPr>
          <w:rFonts w:ascii="Times New Roman" w:hAnsi="Times New Roman" w:cs="Times New Roman"/>
          <w:bCs/>
          <w:color w:val="000000" w:themeColor="text1"/>
          <w:sz w:val="24"/>
          <w:szCs w:val="24"/>
          <w:lang w:bidi="fa-IR"/>
        </w:rPr>
        <w:t>Biolot</w:t>
      </w:r>
      <w:proofErr w:type="spellEnd"/>
      <w:r w:rsidRPr="00D133C3">
        <w:rPr>
          <w:rFonts w:ascii="Times New Roman" w:hAnsi="Times New Roman" w:cs="Times New Roman"/>
          <w:bCs/>
          <w:color w:val="000000" w:themeColor="text1"/>
          <w:sz w:val="24"/>
          <w:szCs w:val="24"/>
          <w:lang w:bidi="fa-IR"/>
        </w:rPr>
        <w:t xml:space="preserve"> (Saint Petersburg, Russia). RPMI-1640 and DMEM media, </w:t>
      </w:r>
      <w:r w:rsidR="007352C3" w:rsidRPr="00D133C3">
        <w:rPr>
          <w:rFonts w:ascii="Times New Roman" w:hAnsi="Times New Roman" w:cs="Times New Roman"/>
          <w:bCs/>
          <w:color w:val="000000" w:themeColor="text1"/>
          <w:sz w:val="24"/>
          <w:szCs w:val="24"/>
          <w:lang w:bidi="fa-IR"/>
        </w:rPr>
        <w:t>FBS</w:t>
      </w:r>
      <w:r w:rsidRPr="00D133C3">
        <w:rPr>
          <w:rFonts w:ascii="Times New Roman" w:hAnsi="Times New Roman" w:cs="Times New Roman"/>
          <w:bCs/>
          <w:color w:val="000000" w:themeColor="text1"/>
          <w:sz w:val="24"/>
          <w:szCs w:val="24"/>
          <w:lang w:bidi="fa-IR"/>
        </w:rPr>
        <w:t xml:space="preserve">, L-glutamine, penicillin, and streptomycin were acquired from various suppliers, including Gibco (Waltham, MA, USA), </w:t>
      </w:r>
      <w:proofErr w:type="spellStart"/>
      <w:r w:rsidRPr="00D133C3">
        <w:rPr>
          <w:rFonts w:ascii="Times New Roman" w:hAnsi="Times New Roman" w:cs="Times New Roman"/>
          <w:bCs/>
          <w:color w:val="000000" w:themeColor="text1"/>
          <w:sz w:val="24"/>
          <w:szCs w:val="24"/>
          <w:lang w:bidi="fa-IR"/>
        </w:rPr>
        <w:t>Himedia</w:t>
      </w:r>
      <w:proofErr w:type="spellEnd"/>
      <w:r w:rsidRPr="00D133C3">
        <w:rPr>
          <w:rFonts w:ascii="Times New Roman" w:hAnsi="Times New Roman" w:cs="Times New Roman"/>
          <w:bCs/>
          <w:color w:val="000000" w:themeColor="text1"/>
          <w:sz w:val="24"/>
          <w:szCs w:val="24"/>
          <w:lang w:bidi="fa-IR"/>
        </w:rPr>
        <w:t xml:space="preserve"> (Mumbai, India), </w:t>
      </w:r>
      <w:proofErr w:type="spellStart"/>
      <w:r w:rsidRPr="00D133C3">
        <w:rPr>
          <w:rFonts w:ascii="Times New Roman" w:hAnsi="Times New Roman" w:cs="Times New Roman"/>
          <w:bCs/>
          <w:color w:val="000000" w:themeColor="text1"/>
          <w:sz w:val="24"/>
          <w:szCs w:val="24"/>
          <w:lang w:bidi="fa-IR"/>
        </w:rPr>
        <w:t>PanEco</w:t>
      </w:r>
      <w:proofErr w:type="spellEnd"/>
      <w:r w:rsidRPr="00D133C3">
        <w:rPr>
          <w:rFonts w:ascii="Times New Roman" w:hAnsi="Times New Roman" w:cs="Times New Roman"/>
          <w:bCs/>
          <w:color w:val="000000" w:themeColor="text1"/>
          <w:sz w:val="24"/>
          <w:szCs w:val="24"/>
          <w:lang w:bidi="fa-IR"/>
        </w:rPr>
        <w:t xml:space="preserve"> (Moscow, Russia), and </w:t>
      </w:r>
      <w:proofErr w:type="spellStart"/>
      <w:r w:rsidRPr="00D133C3">
        <w:rPr>
          <w:rFonts w:ascii="Times New Roman" w:hAnsi="Times New Roman" w:cs="Times New Roman"/>
          <w:bCs/>
          <w:color w:val="000000" w:themeColor="text1"/>
          <w:sz w:val="24"/>
          <w:szCs w:val="24"/>
          <w:lang w:bidi="fa-IR"/>
        </w:rPr>
        <w:t>Biolot</w:t>
      </w:r>
      <w:proofErr w:type="spellEnd"/>
      <w:r w:rsidRPr="00D133C3">
        <w:rPr>
          <w:rFonts w:ascii="Times New Roman" w:hAnsi="Times New Roman" w:cs="Times New Roman"/>
          <w:bCs/>
          <w:color w:val="000000" w:themeColor="text1"/>
          <w:sz w:val="24"/>
          <w:szCs w:val="24"/>
          <w:lang w:bidi="fa-IR"/>
        </w:rPr>
        <w:t xml:space="preserve"> (Saint Petersburg, Russia).</w:t>
      </w:r>
    </w:p>
    <w:p w14:paraId="47605F92" w14:textId="0869AC77" w:rsidR="00FC14DF" w:rsidRPr="00D133C3" w:rsidRDefault="00FC14DF" w:rsidP="004278DA">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 xml:space="preserve">Due to the limited solubility of the </w:t>
      </w:r>
      <w:proofErr w:type="spellStart"/>
      <w:r w:rsidRPr="00D133C3">
        <w:rPr>
          <w:rFonts w:ascii="Times New Roman" w:hAnsi="Times New Roman" w:cs="Times New Roman"/>
          <w:bCs/>
          <w:color w:val="000000" w:themeColor="text1"/>
          <w:sz w:val="24"/>
          <w:szCs w:val="24"/>
          <w:lang w:bidi="fa-IR"/>
        </w:rPr>
        <w:t>tropolone</w:t>
      </w:r>
      <w:proofErr w:type="spellEnd"/>
      <w:r w:rsidRPr="00D133C3">
        <w:rPr>
          <w:rFonts w:ascii="Times New Roman" w:hAnsi="Times New Roman" w:cs="Times New Roman"/>
          <w:bCs/>
          <w:color w:val="000000" w:themeColor="text1"/>
          <w:sz w:val="24"/>
          <w:szCs w:val="24"/>
          <w:lang w:bidi="fa-IR"/>
        </w:rPr>
        <w:t xml:space="preserve"> in non-toxic solvents, a specific administration protocol was developed. A weighed portion of the </w:t>
      </w:r>
      <w:proofErr w:type="spellStart"/>
      <w:r w:rsidRPr="00D133C3">
        <w:rPr>
          <w:rFonts w:ascii="Times New Roman" w:hAnsi="Times New Roman" w:cs="Times New Roman"/>
          <w:bCs/>
          <w:color w:val="000000" w:themeColor="text1"/>
          <w:sz w:val="24"/>
          <w:szCs w:val="24"/>
          <w:lang w:bidi="fa-IR"/>
        </w:rPr>
        <w:t>tropolone</w:t>
      </w:r>
      <w:proofErr w:type="spellEnd"/>
      <w:r w:rsidRPr="00D133C3">
        <w:rPr>
          <w:rFonts w:ascii="Times New Roman" w:hAnsi="Times New Roman" w:cs="Times New Roman"/>
          <w:bCs/>
          <w:color w:val="000000" w:themeColor="text1"/>
          <w:sz w:val="24"/>
          <w:szCs w:val="24"/>
          <w:lang w:bidi="fa-IR"/>
        </w:rPr>
        <w:t xml:space="preserve"> was first dissolved in 100 </w:t>
      </w:r>
      <w:r w:rsidRPr="00D133C3">
        <w:rPr>
          <w:rFonts w:ascii="Times New Roman" w:hAnsi="Times New Roman" w:cs="Times New Roman"/>
          <w:bCs/>
          <w:color w:val="000000" w:themeColor="text1"/>
          <w:sz w:val="24"/>
          <w:szCs w:val="24"/>
          <w:lang w:val="ru-RU" w:bidi="fa-IR"/>
        </w:rPr>
        <w:t>μ</w:t>
      </w:r>
      <w:r w:rsidRPr="00D133C3">
        <w:rPr>
          <w:rFonts w:ascii="Times New Roman" w:hAnsi="Times New Roman" w:cs="Times New Roman"/>
          <w:bCs/>
          <w:color w:val="000000" w:themeColor="text1"/>
          <w:sz w:val="24"/>
          <w:szCs w:val="24"/>
          <w:lang w:bidi="fa-IR"/>
        </w:rPr>
        <w:t xml:space="preserve">L of DMSO. The resulting solution was then mixed with a 1% starch suspension. The total volume of the administered preparation did not exceed 300 </w:t>
      </w:r>
      <w:r w:rsidRPr="00D133C3">
        <w:rPr>
          <w:rFonts w:ascii="Times New Roman" w:hAnsi="Times New Roman" w:cs="Times New Roman"/>
          <w:bCs/>
          <w:color w:val="000000" w:themeColor="text1"/>
          <w:sz w:val="24"/>
          <w:szCs w:val="24"/>
          <w:lang w:val="ru-RU" w:bidi="fa-IR"/>
        </w:rPr>
        <w:t>μ</w:t>
      </w:r>
      <w:r w:rsidRPr="00D133C3">
        <w:rPr>
          <w:rFonts w:ascii="Times New Roman" w:hAnsi="Times New Roman" w:cs="Times New Roman"/>
          <w:bCs/>
          <w:color w:val="000000" w:themeColor="text1"/>
          <w:sz w:val="24"/>
          <w:szCs w:val="24"/>
          <w:lang w:bidi="fa-IR"/>
        </w:rPr>
        <w:t>L per animal, which is within the recommended volume for oral administration in mice.</w:t>
      </w:r>
    </w:p>
    <w:p w14:paraId="1B0EFC44" w14:textId="77777777" w:rsidR="00FC14DF" w:rsidRPr="00D133C3" w:rsidRDefault="00FC14DF" w:rsidP="004278DA">
      <w:pPr>
        <w:widowControl w:val="0"/>
        <w:spacing w:after="0" w:line="240" w:lineRule="auto"/>
        <w:jc w:val="both"/>
        <w:rPr>
          <w:rFonts w:ascii="Times New Roman" w:hAnsi="Times New Roman" w:cs="Times New Roman"/>
          <w:b/>
          <w:bCs/>
          <w:i/>
          <w:color w:val="000000" w:themeColor="text1"/>
          <w:sz w:val="24"/>
          <w:szCs w:val="24"/>
          <w:lang w:bidi="fa-IR"/>
        </w:rPr>
      </w:pPr>
    </w:p>
    <w:p w14:paraId="1DE84366" w14:textId="0BDF92CA" w:rsidR="00456235" w:rsidRPr="00D133C3" w:rsidRDefault="004278DA" w:rsidP="004278DA">
      <w:pPr>
        <w:widowControl w:val="0"/>
        <w:spacing w:after="0" w:line="240" w:lineRule="auto"/>
        <w:jc w:val="both"/>
        <w:rPr>
          <w:rFonts w:ascii="Times New Roman" w:hAnsi="Times New Roman" w:cs="Times New Roman"/>
          <w:b/>
          <w:bCs/>
          <w:i/>
          <w:color w:val="000000" w:themeColor="text1"/>
          <w:sz w:val="24"/>
          <w:szCs w:val="24"/>
          <w:lang w:bidi="fa-IR"/>
        </w:rPr>
      </w:pPr>
      <w:r w:rsidRPr="00D133C3">
        <w:rPr>
          <w:rFonts w:ascii="Times New Roman" w:hAnsi="Times New Roman" w:cs="Times New Roman"/>
          <w:b/>
          <w:bCs/>
          <w:i/>
          <w:color w:val="000000" w:themeColor="text1"/>
          <w:sz w:val="24"/>
          <w:szCs w:val="24"/>
          <w:lang w:bidi="fa-IR"/>
        </w:rPr>
        <w:t>Cell Culture</w:t>
      </w:r>
    </w:p>
    <w:p w14:paraId="297269EC" w14:textId="68CB24B3" w:rsidR="00FC14DF" w:rsidRPr="00D133C3" w:rsidRDefault="002F6E66" w:rsidP="004278DA">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Human glioblastoma U87</w:t>
      </w:r>
      <w:r w:rsidR="00FC14DF" w:rsidRPr="00D133C3">
        <w:rPr>
          <w:rFonts w:ascii="Times New Roman" w:hAnsi="Times New Roman" w:cs="Times New Roman"/>
          <w:bCs/>
          <w:color w:val="000000" w:themeColor="text1"/>
          <w:sz w:val="24"/>
          <w:szCs w:val="24"/>
          <w:lang w:bidi="fa-IR"/>
        </w:rPr>
        <w:t xml:space="preserve">MG cells were maintained in either DMEM or RPMI-1640 medium, supplemented with 10% </w:t>
      </w:r>
      <w:r w:rsidRPr="00D133C3">
        <w:rPr>
          <w:rFonts w:ascii="Times New Roman" w:hAnsi="Times New Roman" w:cs="Times New Roman"/>
          <w:bCs/>
          <w:color w:val="000000" w:themeColor="text1"/>
          <w:sz w:val="24"/>
          <w:szCs w:val="24"/>
          <w:lang w:bidi="fa-IR"/>
        </w:rPr>
        <w:t>FBS</w:t>
      </w:r>
      <w:r w:rsidR="00FC14DF" w:rsidRPr="00D133C3">
        <w:rPr>
          <w:rFonts w:ascii="Times New Roman" w:hAnsi="Times New Roman" w:cs="Times New Roman"/>
          <w:bCs/>
          <w:color w:val="000000" w:themeColor="text1"/>
          <w:sz w:val="24"/>
          <w:szCs w:val="24"/>
          <w:lang w:bidi="fa-IR"/>
        </w:rPr>
        <w:t xml:space="preserve">, 2 </w:t>
      </w:r>
      <w:proofErr w:type="spellStart"/>
      <w:r w:rsidR="00FC14DF" w:rsidRPr="00D133C3">
        <w:rPr>
          <w:rFonts w:ascii="Times New Roman" w:hAnsi="Times New Roman" w:cs="Times New Roman"/>
          <w:bCs/>
          <w:color w:val="000000" w:themeColor="text1"/>
          <w:sz w:val="24"/>
          <w:szCs w:val="24"/>
          <w:lang w:bidi="fa-IR"/>
        </w:rPr>
        <w:t>mM</w:t>
      </w:r>
      <w:proofErr w:type="spellEnd"/>
      <w:r w:rsidR="00FC14DF" w:rsidRPr="00D133C3">
        <w:rPr>
          <w:rFonts w:ascii="Times New Roman" w:hAnsi="Times New Roman" w:cs="Times New Roman"/>
          <w:bCs/>
          <w:color w:val="000000" w:themeColor="text1"/>
          <w:sz w:val="24"/>
          <w:szCs w:val="24"/>
          <w:lang w:bidi="fa-IR"/>
        </w:rPr>
        <w:t xml:space="preserve"> L-glutamine, 100 U/mL penicillin, and 100 µg/mL streptomycin. All cultures were kept at 37°C in a humidified incubator with 5% CO</w:t>
      </w:r>
      <w:r w:rsidR="00EB4B9C" w:rsidRPr="00D133C3">
        <w:rPr>
          <w:rFonts w:ascii="Times New Roman" w:hAnsi="Times New Roman" w:cs="Times New Roman"/>
          <w:bCs/>
          <w:color w:val="000000" w:themeColor="text1"/>
          <w:sz w:val="24"/>
          <w:szCs w:val="24"/>
          <w:vertAlign w:val="subscript"/>
          <w:lang w:bidi="fa-IR"/>
        </w:rPr>
        <w:t>2</w:t>
      </w:r>
      <w:r w:rsidR="00FC14DF" w:rsidRPr="00D133C3">
        <w:rPr>
          <w:rFonts w:ascii="Times New Roman" w:hAnsi="Times New Roman" w:cs="Times New Roman"/>
          <w:bCs/>
          <w:color w:val="000000" w:themeColor="text1"/>
          <w:sz w:val="24"/>
          <w:szCs w:val="24"/>
          <w:lang w:bidi="fa-IR"/>
        </w:rPr>
        <w:t xml:space="preserve">. Upon reaching 80% </w:t>
      </w:r>
      <w:proofErr w:type="spellStart"/>
      <w:r w:rsidR="00FC14DF" w:rsidRPr="00D133C3">
        <w:rPr>
          <w:rFonts w:ascii="Times New Roman" w:hAnsi="Times New Roman" w:cs="Times New Roman"/>
          <w:bCs/>
          <w:color w:val="000000" w:themeColor="text1"/>
          <w:sz w:val="24"/>
          <w:szCs w:val="24"/>
          <w:lang w:bidi="fa-IR"/>
        </w:rPr>
        <w:t>confluency</w:t>
      </w:r>
      <w:proofErr w:type="spellEnd"/>
      <w:r w:rsidR="00FC14DF" w:rsidRPr="00D133C3">
        <w:rPr>
          <w:rFonts w:ascii="Times New Roman" w:hAnsi="Times New Roman" w:cs="Times New Roman"/>
          <w:bCs/>
          <w:color w:val="000000" w:themeColor="text1"/>
          <w:sz w:val="24"/>
          <w:szCs w:val="24"/>
          <w:lang w:bidi="fa-IR"/>
        </w:rPr>
        <w:t>, the cells were passaged using trypsin.</w:t>
      </w:r>
    </w:p>
    <w:p w14:paraId="43977355" w14:textId="77777777" w:rsidR="00DE1F50" w:rsidRPr="00D133C3" w:rsidRDefault="00DE1F50" w:rsidP="004278DA">
      <w:pPr>
        <w:widowControl w:val="0"/>
        <w:spacing w:after="0" w:line="240" w:lineRule="auto"/>
        <w:jc w:val="both"/>
        <w:rPr>
          <w:rFonts w:ascii="Times New Roman" w:hAnsi="Times New Roman" w:cs="Times New Roman"/>
          <w:bCs/>
          <w:color w:val="000000" w:themeColor="text1"/>
          <w:sz w:val="24"/>
          <w:szCs w:val="24"/>
          <w:lang w:bidi="fa-IR"/>
        </w:rPr>
      </w:pPr>
    </w:p>
    <w:p w14:paraId="481E807F" w14:textId="77777777" w:rsidR="004278DA" w:rsidRPr="00D133C3" w:rsidRDefault="004278DA" w:rsidP="004278DA">
      <w:pPr>
        <w:widowControl w:val="0"/>
        <w:spacing w:after="0" w:line="240" w:lineRule="auto"/>
        <w:jc w:val="both"/>
        <w:rPr>
          <w:rFonts w:ascii="Times New Roman" w:hAnsi="Times New Roman" w:cs="Times New Roman"/>
          <w:b/>
          <w:bCs/>
          <w:i/>
          <w:color w:val="000000" w:themeColor="text1"/>
          <w:sz w:val="24"/>
          <w:szCs w:val="24"/>
          <w:lang w:bidi="fa-IR"/>
        </w:rPr>
      </w:pPr>
      <w:r w:rsidRPr="00D133C3">
        <w:rPr>
          <w:rFonts w:ascii="Times New Roman" w:hAnsi="Times New Roman" w:cs="Times New Roman"/>
          <w:b/>
          <w:bCs/>
          <w:i/>
          <w:color w:val="000000" w:themeColor="text1"/>
          <w:sz w:val="24"/>
          <w:szCs w:val="24"/>
          <w:lang w:bidi="fa-IR"/>
        </w:rPr>
        <w:t>In Vivo Xenograft Model</w:t>
      </w:r>
    </w:p>
    <w:p w14:paraId="25B6A0B4" w14:textId="047D3958" w:rsidR="002F6E66" w:rsidRPr="00D133C3" w:rsidRDefault="002F6E66" w:rsidP="00C50908">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Laboratory animals were housed in the SPF-grade (specific pathogen-free) vivarium of the National Medical Research Centre for Oncology. Animals were kept in an individually ventilated cage (IVC) system (</w:t>
      </w:r>
      <w:proofErr w:type="spellStart"/>
      <w:r w:rsidRPr="00D133C3">
        <w:rPr>
          <w:rFonts w:ascii="Times New Roman" w:hAnsi="Times New Roman" w:cs="Times New Roman"/>
          <w:bCs/>
          <w:color w:val="000000" w:themeColor="text1"/>
          <w:sz w:val="24"/>
          <w:szCs w:val="24"/>
          <w:lang w:bidi="fa-IR"/>
        </w:rPr>
        <w:t>Tecniplast</w:t>
      </w:r>
      <w:proofErr w:type="spellEnd"/>
      <w:r w:rsidRPr="00D133C3">
        <w:rPr>
          <w:rFonts w:ascii="Times New Roman" w:hAnsi="Times New Roman" w:cs="Times New Roman"/>
          <w:bCs/>
          <w:color w:val="000000" w:themeColor="text1"/>
          <w:sz w:val="24"/>
          <w:szCs w:val="24"/>
          <w:lang w:bidi="fa-IR"/>
        </w:rPr>
        <w:t>, Italy) under strictly controlled environmental conditions: a temperature range of 21–26°C and a relative humidity of 50–60%.</w:t>
      </w:r>
    </w:p>
    <w:p w14:paraId="530D9CB7" w14:textId="6A4D75C2" w:rsidR="002F6E66" w:rsidRPr="00D133C3" w:rsidRDefault="002F6E66" w:rsidP="00C50908">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 xml:space="preserve">The animals were provided with autoclaved sterile food and water </w:t>
      </w:r>
      <w:r w:rsidRPr="00D133C3">
        <w:rPr>
          <w:rFonts w:ascii="Times New Roman" w:hAnsi="Times New Roman" w:cs="Times New Roman"/>
          <w:bCs/>
          <w:i/>
          <w:color w:val="000000" w:themeColor="text1"/>
          <w:sz w:val="24"/>
          <w:szCs w:val="24"/>
          <w:lang w:bidi="fa-IR"/>
        </w:rPr>
        <w:t>ad libitum</w:t>
      </w:r>
      <w:r w:rsidRPr="00D133C3">
        <w:rPr>
          <w:rFonts w:ascii="Times New Roman" w:hAnsi="Times New Roman" w:cs="Times New Roman"/>
          <w:bCs/>
          <w:color w:val="000000" w:themeColor="text1"/>
          <w:sz w:val="24"/>
          <w:szCs w:val="24"/>
          <w:lang w:bidi="fa-IR"/>
        </w:rPr>
        <w:t>.</w:t>
      </w:r>
    </w:p>
    <w:p w14:paraId="5F5617A0" w14:textId="1170C0CB" w:rsidR="002F6E66" w:rsidRPr="00D133C3" w:rsidRDefault="002F6E66" w:rsidP="00C50908">
      <w:pPr>
        <w:widowControl w:val="0"/>
        <w:spacing w:after="0" w:line="240" w:lineRule="auto"/>
        <w:jc w:val="both"/>
        <w:rPr>
          <w:rFonts w:ascii="Times New Roman" w:hAnsi="Times New Roman" w:cs="Times New Roman"/>
          <w:bCs/>
          <w:color w:val="000000" w:themeColor="text1"/>
          <w:sz w:val="24"/>
          <w:szCs w:val="24"/>
          <w:lang w:bidi="fa-IR"/>
        </w:rPr>
      </w:pPr>
      <w:proofErr w:type="spellStart"/>
      <w:r w:rsidRPr="00D133C3">
        <w:rPr>
          <w:rFonts w:ascii="Times New Roman" w:hAnsi="Times New Roman" w:cs="Times New Roman"/>
          <w:bCs/>
          <w:color w:val="000000" w:themeColor="text1"/>
          <w:sz w:val="24"/>
          <w:szCs w:val="24"/>
          <w:lang w:bidi="fa-IR"/>
        </w:rPr>
        <w:t>Immunodeficient</w:t>
      </w:r>
      <w:proofErr w:type="spellEnd"/>
      <w:r w:rsidRPr="00D133C3">
        <w:rPr>
          <w:rFonts w:ascii="Times New Roman" w:hAnsi="Times New Roman" w:cs="Times New Roman"/>
          <w:bCs/>
          <w:color w:val="000000" w:themeColor="text1"/>
          <w:sz w:val="24"/>
          <w:szCs w:val="24"/>
          <w:lang w:bidi="fa-IR"/>
        </w:rPr>
        <w:t xml:space="preserve"> Balb/c Nude mice (5–6 weeks old) were subcutaneously injected in the right flank with 0.2 mL of a cell suspension containing 5×10</w:t>
      </w:r>
      <w:r w:rsidRPr="00D133C3">
        <w:rPr>
          <w:rFonts w:ascii="Cambria Math" w:hAnsi="Cambria Math" w:cs="Cambria Math"/>
          <w:bCs/>
          <w:color w:val="000000" w:themeColor="text1"/>
          <w:sz w:val="24"/>
          <w:szCs w:val="24"/>
          <w:vertAlign w:val="superscript"/>
          <w:lang w:bidi="fa-IR"/>
        </w:rPr>
        <w:t>6</w:t>
      </w:r>
      <w:r w:rsidRPr="00D133C3">
        <w:rPr>
          <w:rFonts w:ascii="Times New Roman" w:hAnsi="Times New Roman" w:cs="Times New Roman"/>
          <w:bCs/>
          <w:color w:val="000000" w:themeColor="text1"/>
          <w:sz w:val="24"/>
          <w:szCs w:val="24"/>
          <w:lang w:bidi="fa-IR"/>
        </w:rPr>
        <w:t xml:space="preserve"> viable U87MG cells in serum-free RPMI-1640 medium. Tumor growth was monitored regularly, and treatment was initiated when the xenografts reached a palpable size (~100 mm</w:t>
      </w:r>
      <w:r w:rsidRPr="00D133C3">
        <w:rPr>
          <w:rFonts w:ascii="Times New Roman" w:hAnsi="Times New Roman" w:cs="Times New Roman"/>
          <w:bCs/>
          <w:color w:val="000000" w:themeColor="text1"/>
          <w:sz w:val="24"/>
          <w:szCs w:val="24"/>
          <w:vertAlign w:val="superscript"/>
          <w:lang w:bidi="fa-IR"/>
        </w:rPr>
        <w:t>3</w:t>
      </w:r>
      <w:r w:rsidRPr="00D133C3">
        <w:rPr>
          <w:rFonts w:ascii="Times New Roman" w:hAnsi="Times New Roman" w:cs="Times New Roman"/>
          <w:bCs/>
          <w:color w:val="000000" w:themeColor="text1"/>
          <w:sz w:val="24"/>
          <w:szCs w:val="24"/>
          <w:lang w:bidi="fa-IR"/>
        </w:rPr>
        <w:t>).</w:t>
      </w:r>
    </w:p>
    <w:p w14:paraId="569F70FC" w14:textId="77777777" w:rsidR="004278DA" w:rsidRPr="00D133C3" w:rsidRDefault="004278DA" w:rsidP="004278DA">
      <w:pPr>
        <w:widowControl w:val="0"/>
        <w:spacing w:after="0" w:line="240" w:lineRule="auto"/>
        <w:jc w:val="both"/>
        <w:rPr>
          <w:rFonts w:ascii="Times New Roman" w:hAnsi="Times New Roman" w:cs="Times New Roman"/>
          <w:bCs/>
          <w:color w:val="000000" w:themeColor="text1"/>
          <w:sz w:val="24"/>
          <w:szCs w:val="24"/>
          <w:lang w:bidi="fa-IR"/>
        </w:rPr>
      </w:pPr>
    </w:p>
    <w:p w14:paraId="3DBE54BB" w14:textId="77777777" w:rsidR="004278DA" w:rsidRPr="00D133C3" w:rsidRDefault="004278DA" w:rsidP="004278DA">
      <w:pPr>
        <w:widowControl w:val="0"/>
        <w:spacing w:after="0" w:line="240" w:lineRule="auto"/>
        <w:jc w:val="both"/>
        <w:rPr>
          <w:rFonts w:ascii="Times New Roman" w:hAnsi="Times New Roman" w:cs="Times New Roman"/>
          <w:b/>
          <w:bCs/>
          <w:i/>
          <w:color w:val="000000" w:themeColor="text1"/>
          <w:sz w:val="24"/>
          <w:szCs w:val="24"/>
          <w:lang w:bidi="fa-IR"/>
        </w:rPr>
      </w:pPr>
      <w:r w:rsidRPr="00D133C3">
        <w:rPr>
          <w:rFonts w:ascii="Times New Roman" w:hAnsi="Times New Roman" w:cs="Times New Roman"/>
          <w:b/>
          <w:bCs/>
          <w:i/>
          <w:color w:val="000000" w:themeColor="text1"/>
          <w:sz w:val="24"/>
          <w:szCs w:val="24"/>
          <w:lang w:bidi="fa-IR"/>
        </w:rPr>
        <w:t>Treatment Groups</w:t>
      </w:r>
    </w:p>
    <w:p w14:paraId="49C553F6" w14:textId="4C211058" w:rsidR="004278DA" w:rsidRPr="00D133C3" w:rsidRDefault="004278DA" w:rsidP="004278DA">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 xml:space="preserve">Mice were randomly assigned to four groups (n = </w:t>
      </w:r>
      <w:r w:rsidR="00456235" w:rsidRPr="00D133C3">
        <w:rPr>
          <w:rFonts w:ascii="Times New Roman" w:hAnsi="Times New Roman" w:cs="Times New Roman"/>
          <w:bCs/>
          <w:color w:val="000000" w:themeColor="text1"/>
          <w:sz w:val="24"/>
          <w:szCs w:val="24"/>
          <w:lang w:bidi="fa-IR"/>
        </w:rPr>
        <w:t>8</w:t>
      </w:r>
      <w:r w:rsidRPr="00D133C3">
        <w:rPr>
          <w:rFonts w:ascii="Times New Roman" w:hAnsi="Times New Roman" w:cs="Times New Roman"/>
          <w:bCs/>
          <w:color w:val="000000" w:themeColor="text1"/>
          <w:sz w:val="24"/>
          <w:szCs w:val="24"/>
          <w:lang w:bidi="fa-IR"/>
        </w:rPr>
        <w:t xml:space="preserve"> per group):</w:t>
      </w:r>
    </w:p>
    <w:p w14:paraId="18C9BF47" w14:textId="77777777" w:rsidR="00623987" w:rsidRPr="00D133C3" w:rsidRDefault="00623987" w:rsidP="00623987">
      <w:pPr>
        <w:pStyle w:val="a3"/>
        <w:widowControl w:val="0"/>
        <w:numPr>
          <w:ilvl w:val="0"/>
          <w:numId w:val="15"/>
        </w:numPr>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 xml:space="preserve">Group 1 (TMZ): </w:t>
      </w:r>
      <w:proofErr w:type="spellStart"/>
      <w:r w:rsidRPr="00D133C3">
        <w:rPr>
          <w:rFonts w:ascii="Times New Roman" w:hAnsi="Times New Roman" w:cs="Times New Roman"/>
          <w:bCs/>
          <w:color w:val="000000" w:themeColor="text1"/>
          <w:sz w:val="24"/>
          <w:szCs w:val="24"/>
          <w:lang w:bidi="fa-IR"/>
        </w:rPr>
        <w:t>Temozolomide</w:t>
      </w:r>
      <w:proofErr w:type="spellEnd"/>
      <w:r w:rsidRPr="00D133C3">
        <w:rPr>
          <w:rFonts w:ascii="Times New Roman" w:hAnsi="Times New Roman" w:cs="Times New Roman"/>
          <w:bCs/>
          <w:color w:val="000000" w:themeColor="text1"/>
          <w:sz w:val="24"/>
          <w:szCs w:val="24"/>
          <w:lang w:bidi="fa-IR"/>
        </w:rPr>
        <w:t xml:space="preserve"> (20 mg/kg, </w:t>
      </w:r>
      <w:proofErr w:type="spellStart"/>
      <w:r w:rsidRPr="00D133C3">
        <w:rPr>
          <w:rFonts w:ascii="Times New Roman" w:hAnsi="Times New Roman" w:cs="Times New Roman"/>
          <w:bCs/>
          <w:color w:val="000000" w:themeColor="text1"/>
          <w:sz w:val="24"/>
          <w:szCs w:val="24"/>
          <w:lang w:bidi="fa-IR"/>
        </w:rPr>
        <w:t>intraperitoneally</w:t>
      </w:r>
      <w:proofErr w:type="spellEnd"/>
      <w:r w:rsidRPr="00D133C3">
        <w:rPr>
          <w:rFonts w:ascii="Times New Roman" w:hAnsi="Times New Roman" w:cs="Times New Roman"/>
          <w:bCs/>
          <w:color w:val="000000" w:themeColor="text1"/>
          <w:sz w:val="24"/>
          <w:szCs w:val="24"/>
          <w:lang w:bidi="fa-IR"/>
        </w:rPr>
        <w:t>, daily)</w:t>
      </w:r>
    </w:p>
    <w:p w14:paraId="58A0AB90" w14:textId="237F7C5D" w:rsidR="00DB1938" w:rsidRPr="00D133C3" w:rsidRDefault="00623987" w:rsidP="00623987">
      <w:pPr>
        <w:pStyle w:val="a3"/>
        <w:widowControl w:val="0"/>
        <w:numPr>
          <w:ilvl w:val="0"/>
          <w:numId w:val="15"/>
        </w:numPr>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 xml:space="preserve">Group 2 </w:t>
      </w:r>
      <w:r w:rsidR="00DB1938" w:rsidRPr="00D133C3">
        <w:rPr>
          <w:rFonts w:ascii="Times New Roman" w:hAnsi="Times New Roman" w:cs="Times New Roman"/>
          <w:bCs/>
          <w:color w:val="000000" w:themeColor="text1"/>
          <w:sz w:val="24"/>
          <w:szCs w:val="24"/>
          <w:lang w:bidi="fa-IR"/>
        </w:rPr>
        <w:t xml:space="preserve">(JO-122(2)): JO-122(2) (60 mg/kg, </w:t>
      </w:r>
      <w:r w:rsidR="00DB1938" w:rsidRPr="00D133C3">
        <w:rPr>
          <w:rFonts w:ascii="Times New Roman" w:hAnsi="Times New Roman" w:cs="Times New Roman"/>
          <w:bCs/>
          <w:i/>
          <w:color w:val="000000" w:themeColor="text1"/>
          <w:sz w:val="24"/>
          <w:szCs w:val="24"/>
          <w:lang w:bidi="fa-IR"/>
        </w:rPr>
        <w:t xml:space="preserve">per </w:t>
      </w:r>
      <w:proofErr w:type="spellStart"/>
      <w:r w:rsidR="00DB1938" w:rsidRPr="00D133C3">
        <w:rPr>
          <w:rFonts w:ascii="Times New Roman" w:hAnsi="Times New Roman" w:cs="Times New Roman"/>
          <w:bCs/>
          <w:i/>
          <w:color w:val="000000" w:themeColor="text1"/>
          <w:sz w:val="24"/>
          <w:szCs w:val="24"/>
          <w:lang w:bidi="fa-IR"/>
        </w:rPr>
        <w:t>os</w:t>
      </w:r>
      <w:proofErr w:type="spellEnd"/>
      <w:r w:rsidR="00DB1938" w:rsidRPr="00D133C3">
        <w:rPr>
          <w:rFonts w:ascii="Times New Roman" w:hAnsi="Times New Roman" w:cs="Times New Roman"/>
          <w:bCs/>
          <w:color w:val="000000" w:themeColor="text1"/>
          <w:sz w:val="24"/>
          <w:szCs w:val="24"/>
          <w:lang w:bidi="fa-IR"/>
        </w:rPr>
        <w:t>, three times a week)</w:t>
      </w:r>
    </w:p>
    <w:p w14:paraId="62AF58E5" w14:textId="4479C730" w:rsidR="00DB1938" w:rsidRPr="00D133C3" w:rsidRDefault="00DB1938" w:rsidP="00DB1938">
      <w:pPr>
        <w:pStyle w:val="a3"/>
        <w:widowControl w:val="0"/>
        <w:numPr>
          <w:ilvl w:val="0"/>
          <w:numId w:val="15"/>
        </w:numPr>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 xml:space="preserve">Group 3 (JO-122(2) + TMZ): JO-122(2) (60 mg/kg, </w:t>
      </w:r>
      <w:r w:rsidRPr="00D133C3">
        <w:rPr>
          <w:rFonts w:ascii="Times New Roman" w:hAnsi="Times New Roman" w:cs="Times New Roman"/>
          <w:bCs/>
          <w:i/>
          <w:color w:val="000000" w:themeColor="text1"/>
          <w:sz w:val="24"/>
          <w:szCs w:val="24"/>
          <w:lang w:bidi="fa-IR"/>
        </w:rPr>
        <w:t xml:space="preserve">per </w:t>
      </w:r>
      <w:proofErr w:type="spellStart"/>
      <w:r w:rsidRPr="00D133C3">
        <w:rPr>
          <w:rFonts w:ascii="Times New Roman" w:hAnsi="Times New Roman" w:cs="Times New Roman"/>
          <w:bCs/>
          <w:i/>
          <w:color w:val="000000" w:themeColor="text1"/>
          <w:sz w:val="24"/>
          <w:szCs w:val="24"/>
          <w:lang w:bidi="fa-IR"/>
        </w:rPr>
        <w:t>os</w:t>
      </w:r>
      <w:proofErr w:type="spellEnd"/>
      <w:r w:rsidRPr="00D133C3">
        <w:rPr>
          <w:rFonts w:ascii="Times New Roman" w:hAnsi="Times New Roman" w:cs="Times New Roman"/>
          <w:bCs/>
          <w:color w:val="000000" w:themeColor="text1"/>
          <w:sz w:val="24"/>
          <w:szCs w:val="24"/>
          <w:lang w:bidi="fa-IR"/>
        </w:rPr>
        <w:t xml:space="preserve">, three times a week) combined with </w:t>
      </w:r>
      <w:proofErr w:type="spellStart"/>
      <w:r w:rsidRPr="00D133C3">
        <w:rPr>
          <w:rFonts w:ascii="Times New Roman" w:hAnsi="Times New Roman" w:cs="Times New Roman"/>
          <w:bCs/>
          <w:color w:val="000000" w:themeColor="text1"/>
          <w:sz w:val="24"/>
          <w:szCs w:val="24"/>
          <w:lang w:bidi="fa-IR"/>
        </w:rPr>
        <w:t>temozolomide</w:t>
      </w:r>
      <w:proofErr w:type="spellEnd"/>
      <w:r w:rsidRPr="00D133C3">
        <w:rPr>
          <w:rFonts w:ascii="Times New Roman" w:hAnsi="Times New Roman" w:cs="Times New Roman"/>
          <w:bCs/>
          <w:color w:val="000000" w:themeColor="text1"/>
          <w:sz w:val="24"/>
          <w:szCs w:val="24"/>
          <w:lang w:bidi="fa-IR"/>
        </w:rPr>
        <w:t xml:space="preserve"> (20 mg/kg, </w:t>
      </w:r>
      <w:proofErr w:type="spellStart"/>
      <w:r w:rsidRPr="00D133C3">
        <w:rPr>
          <w:rFonts w:ascii="Times New Roman" w:hAnsi="Times New Roman" w:cs="Times New Roman"/>
          <w:bCs/>
          <w:color w:val="000000" w:themeColor="text1"/>
          <w:sz w:val="24"/>
          <w:szCs w:val="24"/>
          <w:lang w:bidi="fa-IR"/>
        </w:rPr>
        <w:t>intraperitoneally</w:t>
      </w:r>
      <w:proofErr w:type="spellEnd"/>
      <w:r w:rsidRPr="00D133C3">
        <w:rPr>
          <w:rFonts w:ascii="Times New Roman" w:hAnsi="Times New Roman" w:cs="Times New Roman"/>
          <w:bCs/>
          <w:color w:val="000000" w:themeColor="text1"/>
          <w:sz w:val="24"/>
          <w:szCs w:val="24"/>
          <w:lang w:bidi="fa-IR"/>
        </w:rPr>
        <w:t>, daily)</w:t>
      </w:r>
    </w:p>
    <w:p w14:paraId="2B7CE127" w14:textId="7403E81D" w:rsidR="00623987" w:rsidRPr="00D133C3" w:rsidRDefault="00623987" w:rsidP="00623987">
      <w:pPr>
        <w:pStyle w:val="a3"/>
        <w:widowControl w:val="0"/>
        <w:numPr>
          <w:ilvl w:val="0"/>
          <w:numId w:val="15"/>
        </w:numPr>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 xml:space="preserve">Group 4 (Control): Vehicle control consisting of sodium chloride (0.9%, </w:t>
      </w:r>
      <w:proofErr w:type="spellStart"/>
      <w:r w:rsidRPr="00D133C3">
        <w:rPr>
          <w:rFonts w:ascii="Times New Roman" w:hAnsi="Times New Roman" w:cs="Times New Roman"/>
          <w:bCs/>
          <w:color w:val="000000" w:themeColor="text1"/>
          <w:sz w:val="24"/>
          <w:szCs w:val="24"/>
          <w:lang w:bidi="fa-IR"/>
        </w:rPr>
        <w:t>intraperitoneally</w:t>
      </w:r>
      <w:proofErr w:type="spellEnd"/>
      <w:r w:rsidRPr="00D133C3">
        <w:rPr>
          <w:rFonts w:ascii="Times New Roman" w:hAnsi="Times New Roman" w:cs="Times New Roman"/>
          <w:bCs/>
          <w:color w:val="000000" w:themeColor="text1"/>
          <w:sz w:val="24"/>
          <w:szCs w:val="24"/>
          <w:lang w:bidi="fa-IR"/>
        </w:rPr>
        <w:t xml:space="preserve">, daily) and starch gel (1%, </w:t>
      </w:r>
      <w:r w:rsidRPr="00D133C3">
        <w:rPr>
          <w:rFonts w:ascii="Times New Roman" w:hAnsi="Times New Roman" w:cs="Times New Roman"/>
          <w:bCs/>
          <w:i/>
          <w:color w:val="000000" w:themeColor="text1"/>
          <w:sz w:val="24"/>
          <w:szCs w:val="24"/>
          <w:lang w:bidi="fa-IR"/>
        </w:rPr>
        <w:t xml:space="preserve">per </w:t>
      </w:r>
      <w:proofErr w:type="spellStart"/>
      <w:r w:rsidRPr="00D133C3">
        <w:rPr>
          <w:rFonts w:ascii="Times New Roman" w:hAnsi="Times New Roman" w:cs="Times New Roman"/>
          <w:bCs/>
          <w:i/>
          <w:color w:val="000000" w:themeColor="text1"/>
          <w:sz w:val="24"/>
          <w:szCs w:val="24"/>
          <w:lang w:bidi="fa-IR"/>
        </w:rPr>
        <w:t>os</w:t>
      </w:r>
      <w:proofErr w:type="spellEnd"/>
      <w:r w:rsidRPr="00D133C3">
        <w:rPr>
          <w:rFonts w:ascii="Times New Roman" w:hAnsi="Times New Roman" w:cs="Times New Roman"/>
          <w:bCs/>
          <w:color w:val="000000" w:themeColor="text1"/>
          <w:sz w:val="24"/>
          <w:szCs w:val="24"/>
          <w:lang w:bidi="fa-IR"/>
        </w:rPr>
        <w:t>, three times a week)</w:t>
      </w:r>
    </w:p>
    <w:p w14:paraId="4A0D2886" w14:textId="1BA28D75" w:rsidR="00623987" w:rsidRPr="00D133C3" w:rsidRDefault="00623987" w:rsidP="00623987">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 xml:space="preserve">The dosage and treatment schedule for </w:t>
      </w:r>
      <w:proofErr w:type="spellStart"/>
      <w:r w:rsidRPr="00D133C3">
        <w:rPr>
          <w:rFonts w:ascii="Times New Roman" w:hAnsi="Times New Roman" w:cs="Times New Roman"/>
          <w:bCs/>
          <w:color w:val="000000" w:themeColor="text1"/>
          <w:sz w:val="24"/>
          <w:szCs w:val="24"/>
          <w:lang w:bidi="fa-IR"/>
        </w:rPr>
        <w:t>temozolomide</w:t>
      </w:r>
      <w:proofErr w:type="spellEnd"/>
      <w:r w:rsidRPr="00D133C3">
        <w:rPr>
          <w:rFonts w:ascii="Times New Roman" w:hAnsi="Times New Roman" w:cs="Times New Roman"/>
          <w:bCs/>
          <w:color w:val="000000" w:themeColor="text1"/>
          <w:sz w:val="24"/>
          <w:szCs w:val="24"/>
          <w:lang w:bidi="fa-IR"/>
        </w:rPr>
        <w:t xml:space="preserve"> were selected based on literature data </w:t>
      </w:r>
      <w:r w:rsidRPr="00D133C3">
        <w:rPr>
          <w:rFonts w:ascii="Times New Roman" w:hAnsi="Times New Roman" w:cs="Times New Roman"/>
          <w:bCs/>
          <w:color w:val="000000" w:themeColor="text1"/>
          <w:sz w:val="24"/>
          <w:szCs w:val="24"/>
          <w:lang w:bidi="fa-IR"/>
        </w:rPr>
        <w:lastRenderedPageBreak/>
        <w:t>corresponding to standard regimens used in preclinical stud</w:t>
      </w:r>
      <w:r w:rsidR="008E02A7" w:rsidRPr="00D133C3">
        <w:rPr>
          <w:rFonts w:ascii="Times New Roman" w:hAnsi="Times New Roman" w:cs="Times New Roman"/>
          <w:bCs/>
          <w:color w:val="000000" w:themeColor="text1"/>
          <w:sz w:val="24"/>
          <w:szCs w:val="24"/>
          <w:lang w:bidi="fa-IR"/>
        </w:rPr>
        <w:t>ies on animal glioma models [1</w:t>
      </w:r>
      <w:r w:rsidR="00455FD6" w:rsidRPr="00D133C3">
        <w:rPr>
          <w:rFonts w:ascii="Times New Roman" w:hAnsi="Times New Roman" w:cs="Times New Roman"/>
          <w:bCs/>
          <w:color w:val="000000" w:themeColor="text1"/>
          <w:sz w:val="24"/>
          <w:szCs w:val="24"/>
          <w:lang w:bidi="fa-IR"/>
        </w:rPr>
        <w:t>5</w:t>
      </w:r>
      <w:r w:rsidRPr="00D133C3">
        <w:rPr>
          <w:rFonts w:ascii="Times New Roman" w:hAnsi="Times New Roman" w:cs="Times New Roman"/>
          <w:bCs/>
          <w:color w:val="000000" w:themeColor="text1"/>
          <w:sz w:val="24"/>
          <w:szCs w:val="24"/>
          <w:lang w:bidi="fa-IR"/>
        </w:rPr>
        <w:t>]. All compounds were administered without regard to the animal feeding schedule.</w:t>
      </w:r>
    </w:p>
    <w:p w14:paraId="2B509143" w14:textId="3DA65AE0" w:rsidR="00623987" w:rsidRPr="00D133C3" w:rsidRDefault="008E02A7" w:rsidP="00623987">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The treatment duration was 25 days. Tumor volume was assessed every 3 days using a digital caliper and calculated according to the formula:</w:t>
      </w:r>
    </w:p>
    <w:p w14:paraId="31F90F81" w14:textId="12786B52" w:rsidR="008E02A7" w:rsidRPr="00D133C3" w:rsidRDefault="008E02A7" w:rsidP="008E02A7">
      <w:pPr>
        <w:widowControl w:val="0"/>
        <w:spacing w:after="0" w:line="240" w:lineRule="auto"/>
        <w:jc w:val="center"/>
        <w:rPr>
          <w:rFonts w:ascii="Times New Roman" w:hAnsi="Times New Roman" w:cs="Times New Roman"/>
          <w:bCs/>
          <w:i/>
          <w:color w:val="000000" w:themeColor="text1"/>
          <w:sz w:val="24"/>
          <w:szCs w:val="24"/>
          <w:lang w:bidi="fa-IR"/>
        </w:rPr>
      </w:pPr>
      <w:r w:rsidRPr="00D133C3">
        <w:rPr>
          <w:rFonts w:ascii="Times New Roman" w:hAnsi="Times New Roman" w:cs="Times New Roman"/>
          <w:bCs/>
          <w:i/>
          <w:color w:val="000000" w:themeColor="text1"/>
          <w:sz w:val="24"/>
          <w:szCs w:val="24"/>
          <w:lang w:bidi="fa-IR"/>
        </w:rPr>
        <w:t>V = (L × W</w:t>
      </w:r>
      <w:r w:rsidRPr="00D133C3">
        <w:rPr>
          <w:rFonts w:ascii="Times New Roman" w:hAnsi="Times New Roman" w:cs="Times New Roman"/>
          <w:bCs/>
          <w:i/>
          <w:color w:val="000000" w:themeColor="text1"/>
          <w:sz w:val="24"/>
          <w:szCs w:val="24"/>
          <w:vertAlign w:val="superscript"/>
          <w:lang w:bidi="fa-IR"/>
        </w:rPr>
        <w:t>2</w:t>
      </w:r>
      <w:r w:rsidRPr="00D133C3">
        <w:rPr>
          <w:rFonts w:ascii="Times New Roman" w:hAnsi="Times New Roman" w:cs="Times New Roman"/>
          <w:bCs/>
          <w:i/>
          <w:color w:val="000000" w:themeColor="text1"/>
          <w:sz w:val="24"/>
          <w:szCs w:val="24"/>
          <w:lang w:bidi="fa-IR"/>
        </w:rPr>
        <w:t>) / 2</w:t>
      </w:r>
    </w:p>
    <w:p w14:paraId="7C484038" w14:textId="77777777" w:rsidR="008E02A7" w:rsidRPr="00D133C3" w:rsidRDefault="008E02A7" w:rsidP="00C50908">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 xml:space="preserve">where </w:t>
      </w:r>
      <w:r w:rsidRPr="00D133C3">
        <w:rPr>
          <w:rFonts w:ascii="Times New Roman" w:hAnsi="Times New Roman" w:cs="Times New Roman"/>
          <w:bCs/>
          <w:i/>
          <w:color w:val="000000" w:themeColor="text1"/>
          <w:sz w:val="24"/>
          <w:szCs w:val="24"/>
          <w:lang w:bidi="fa-IR"/>
        </w:rPr>
        <w:t>L</w:t>
      </w:r>
      <w:r w:rsidRPr="00D133C3">
        <w:rPr>
          <w:rFonts w:ascii="Times New Roman" w:hAnsi="Times New Roman" w:cs="Times New Roman"/>
          <w:bCs/>
          <w:color w:val="000000" w:themeColor="text1"/>
          <w:sz w:val="24"/>
          <w:szCs w:val="24"/>
          <w:lang w:bidi="fa-IR"/>
        </w:rPr>
        <w:t xml:space="preserve"> is the length (longest diameter) and </w:t>
      </w:r>
      <w:r w:rsidRPr="00D133C3">
        <w:rPr>
          <w:rFonts w:ascii="Times New Roman" w:hAnsi="Times New Roman" w:cs="Times New Roman"/>
          <w:bCs/>
          <w:i/>
          <w:color w:val="000000" w:themeColor="text1"/>
          <w:sz w:val="24"/>
          <w:szCs w:val="24"/>
          <w:lang w:bidi="fa-IR"/>
        </w:rPr>
        <w:t>W</w:t>
      </w:r>
      <w:r w:rsidRPr="00D133C3">
        <w:rPr>
          <w:rFonts w:ascii="Times New Roman" w:hAnsi="Times New Roman" w:cs="Times New Roman"/>
          <w:bCs/>
          <w:color w:val="000000" w:themeColor="text1"/>
          <w:sz w:val="24"/>
          <w:szCs w:val="24"/>
          <w:lang w:bidi="fa-IR"/>
        </w:rPr>
        <w:t xml:space="preserve"> is the width (perpendicular diameter). </w:t>
      </w:r>
    </w:p>
    <w:p w14:paraId="78FF2414" w14:textId="77777777" w:rsidR="008E02A7" w:rsidRPr="00D133C3" w:rsidRDefault="008E02A7" w:rsidP="008E02A7">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The antitumor efficacy of the tested compounds and their combination was evaluated using the tumor growth inhibition (TGI) index, expressed as a percentage and calculated as follows:</w:t>
      </w:r>
    </w:p>
    <w:p w14:paraId="6F181304" w14:textId="60B3C9BD" w:rsidR="008E02A7" w:rsidRPr="00D133C3" w:rsidRDefault="008E02A7" w:rsidP="008E02A7">
      <w:pPr>
        <w:widowControl w:val="0"/>
        <w:spacing w:after="0" w:line="240" w:lineRule="auto"/>
        <w:jc w:val="center"/>
        <w:rPr>
          <w:rFonts w:ascii="Times New Roman" w:hAnsi="Times New Roman" w:cs="Times New Roman"/>
          <w:bCs/>
          <w:i/>
          <w:color w:val="000000" w:themeColor="text1"/>
          <w:sz w:val="24"/>
          <w:szCs w:val="24"/>
          <w:lang w:bidi="fa-IR"/>
        </w:rPr>
      </w:pPr>
      <w:r w:rsidRPr="00D133C3">
        <w:rPr>
          <w:rFonts w:ascii="Times New Roman" w:hAnsi="Times New Roman" w:cs="Times New Roman"/>
          <w:bCs/>
          <w:i/>
          <w:color w:val="000000" w:themeColor="text1"/>
          <w:sz w:val="24"/>
          <w:szCs w:val="24"/>
          <w:lang w:bidi="fa-IR"/>
        </w:rPr>
        <w:t>TGI (%) = ((</w:t>
      </w:r>
      <w:proofErr w:type="spellStart"/>
      <w:r w:rsidRPr="00D133C3">
        <w:rPr>
          <w:rFonts w:ascii="Times New Roman" w:hAnsi="Times New Roman" w:cs="Times New Roman"/>
          <w:bCs/>
          <w:i/>
          <w:color w:val="000000" w:themeColor="text1"/>
          <w:sz w:val="24"/>
          <w:szCs w:val="24"/>
          <w:lang w:bidi="fa-IR"/>
        </w:rPr>
        <w:t>Vc</w:t>
      </w:r>
      <w:proofErr w:type="spellEnd"/>
      <w:r w:rsidRPr="00D133C3">
        <w:rPr>
          <w:rFonts w:ascii="Times New Roman" w:hAnsi="Times New Roman" w:cs="Times New Roman"/>
          <w:bCs/>
          <w:i/>
          <w:color w:val="000000" w:themeColor="text1"/>
          <w:sz w:val="24"/>
          <w:szCs w:val="24"/>
          <w:lang w:bidi="fa-IR"/>
        </w:rPr>
        <w:t xml:space="preserve"> - </w:t>
      </w:r>
      <w:proofErr w:type="spellStart"/>
      <w:r w:rsidRPr="00D133C3">
        <w:rPr>
          <w:rFonts w:ascii="Times New Roman" w:hAnsi="Times New Roman" w:cs="Times New Roman"/>
          <w:bCs/>
          <w:i/>
          <w:color w:val="000000" w:themeColor="text1"/>
          <w:sz w:val="24"/>
          <w:szCs w:val="24"/>
          <w:lang w:bidi="fa-IR"/>
        </w:rPr>
        <w:t>Vt</w:t>
      </w:r>
      <w:proofErr w:type="spellEnd"/>
      <w:r w:rsidRPr="00D133C3">
        <w:rPr>
          <w:rFonts w:ascii="Times New Roman" w:hAnsi="Times New Roman" w:cs="Times New Roman"/>
          <w:bCs/>
          <w:i/>
          <w:color w:val="000000" w:themeColor="text1"/>
          <w:sz w:val="24"/>
          <w:szCs w:val="24"/>
          <w:lang w:bidi="fa-IR"/>
        </w:rPr>
        <w:t xml:space="preserve">) / </w:t>
      </w:r>
      <w:proofErr w:type="spellStart"/>
      <w:r w:rsidRPr="00D133C3">
        <w:rPr>
          <w:rFonts w:ascii="Times New Roman" w:hAnsi="Times New Roman" w:cs="Times New Roman"/>
          <w:bCs/>
          <w:i/>
          <w:color w:val="000000" w:themeColor="text1"/>
          <w:sz w:val="24"/>
          <w:szCs w:val="24"/>
          <w:lang w:bidi="fa-IR"/>
        </w:rPr>
        <w:t>Vc</w:t>
      </w:r>
      <w:proofErr w:type="spellEnd"/>
      <w:r w:rsidRPr="00D133C3">
        <w:rPr>
          <w:rFonts w:ascii="Times New Roman" w:hAnsi="Times New Roman" w:cs="Times New Roman"/>
          <w:bCs/>
          <w:i/>
          <w:color w:val="000000" w:themeColor="text1"/>
          <w:sz w:val="24"/>
          <w:szCs w:val="24"/>
          <w:lang w:bidi="fa-IR"/>
        </w:rPr>
        <w:t>) × 100</w:t>
      </w:r>
    </w:p>
    <w:p w14:paraId="45EEFA80" w14:textId="5B731CFE" w:rsidR="008E02A7" w:rsidRPr="00D133C3" w:rsidRDefault="008E02A7" w:rsidP="008E02A7">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 xml:space="preserve">where </w:t>
      </w:r>
      <w:proofErr w:type="spellStart"/>
      <w:r w:rsidRPr="00D133C3">
        <w:rPr>
          <w:rFonts w:ascii="Times New Roman" w:hAnsi="Times New Roman" w:cs="Times New Roman"/>
          <w:bCs/>
          <w:i/>
          <w:color w:val="000000" w:themeColor="text1"/>
          <w:sz w:val="24"/>
          <w:szCs w:val="24"/>
          <w:lang w:bidi="fa-IR"/>
        </w:rPr>
        <w:t>Vc</w:t>
      </w:r>
      <w:proofErr w:type="spellEnd"/>
      <w:r w:rsidRPr="00D133C3">
        <w:rPr>
          <w:rFonts w:ascii="Times New Roman" w:hAnsi="Times New Roman" w:cs="Times New Roman"/>
          <w:bCs/>
          <w:color w:val="000000" w:themeColor="text1"/>
          <w:sz w:val="24"/>
          <w:szCs w:val="24"/>
          <w:lang w:bidi="fa-IR"/>
        </w:rPr>
        <w:t xml:space="preserve"> is the mean tumor volume (mm</w:t>
      </w:r>
      <w:r w:rsidRPr="00D133C3">
        <w:rPr>
          <w:rFonts w:ascii="Times New Roman" w:hAnsi="Times New Roman" w:cs="Times New Roman"/>
          <w:bCs/>
          <w:color w:val="000000" w:themeColor="text1"/>
          <w:sz w:val="24"/>
          <w:szCs w:val="24"/>
          <w:vertAlign w:val="superscript"/>
          <w:lang w:bidi="fa-IR"/>
        </w:rPr>
        <w:t>3</w:t>
      </w:r>
      <w:r w:rsidRPr="00D133C3">
        <w:rPr>
          <w:rFonts w:ascii="Times New Roman" w:hAnsi="Times New Roman" w:cs="Times New Roman"/>
          <w:bCs/>
          <w:color w:val="000000" w:themeColor="text1"/>
          <w:sz w:val="24"/>
          <w:szCs w:val="24"/>
          <w:lang w:bidi="fa-IR"/>
        </w:rPr>
        <w:t xml:space="preserve">) in the control group and </w:t>
      </w:r>
      <w:proofErr w:type="spellStart"/>
      <w:r w:rsidRPr="00D133C3">
        <w:rPr>
          <w:rFonts w:ascii="Times New Roman" w:hAnsi="Times New Roman" w:cs="Times New Roman"/>
          <w:bCs/>
          <w:i/>
          <w:color w:val="000000" w:themeColor="text1"/>
          <w:sz w:val="24"/>
          <w:szCs w:val="24"/>
          <w:lang w:bidi="fa-IR"/>
        </w:rPr>
        <w:t>Vt</w:t>
      </w:r>
      <w:proofErr w:type="spellEnd"/>
      <w:r w:rsidRPr="00D133C3">
        <w:rPr>
          <w:rFonts w:ascii="Times New Roman" w:hAnsi="Times New Roman" w:cs="Times New Roman"/>
          <w:bCs/>
          <w:color w:val="000000" w:themeColor="text1"/>
          <w:sz w:val="24"/>
          <w:szCs w:val="24"/>
          <w:lang w:bidi="fa-IR"/>
        </w:rPr>
        <w:t xml:space="preserve"> is the mean tumor volume (mm</w:t>
      </w:r>
      <w:r w:rsidRPr="00D133C3">
        <w:rPr>
          <w:rFonts w:ascii="Times New Roman" w:hAnsi="Times New Roman" w:cs="Times New Roman"/>
          <w:bCs/>
          <w:color w:val="000000" w:themeColor="text1"/>
          <w:sz w:val="24"/>
          <w:szCs w:val="24"/>
          <w:vertAlign w:val="superscript"/>
          <w:lang w:bidi="fa-IR"/>
        </w:rPr>
        <w:t>3</w:t>
      </w:r>
      <w:r w:rsidRPr="00D133C3">
        <w:rPr>
          <w:rFonts w:ascii="Times New Roman" w:hAnsi="Times New Roman" w:cs="Times New Roman"/>
          <w:bCs/>
          <w:color w:val="000000" w:themeColor="text1"/>
          <w:sz w:val="24"/>
          <w:szCs w:val="24"/>
          <w:lang w:bidi="fa-IR"/>
        </w:rPr>
        <w:t>) in the treated group.</w:t>
      </w:r>
    </w:p>
    <w:p w14:paraId="26BF0C56" w14:textId="77777777" w:rsidR="008E02A7" w:rsidRPr="00D133C3" w:rsidRDefault="008E02A7" w:rsidP="008E02A7">
      <w:pPr>
        <w:widowControl w:val="0"/>
        <w:spacing w:after="0" w:line="240" w:lineRule="auto"/>
        <w:jc w:val="both"/>
        <w:rPr>
          <w:rFonts w:ascii="Times New Roman" w:hAnsi="Times New Roman" w:cs="Times New Roman"/>
          <w:bCs/>
          <w:color w:val="000000" w:themeColor="text1"/>
          <w:sz w:val="24"/>
          <w:szCs w:val="24"/>
          <w:lang w:bidi="fa-IR"/>
        </w:rPr>
      </w:pPr>
    </w:p>
    <w:p w14:paraId="31C74053" w14:textId="77777777" w:rsidR="004278DA" w:rsidRPr="00D133C3" w:rsidRDefault="004278DA" w:rsidP="004278DA">
      <w:pPr>
        <w:widowControl w:val="0"/>
        <w:spacing w:after="0" w:line="240" w:lineRule="auto"/>
        <w:jc w:val="both"/>
        <w:rPr>
          <w:rFonts w:ascii="Times New Roman" w:hAnsi="Times New Roman" w:cs="Times New Roman"/>
          <w:b/>
          <w:bCs/>
          <w:i/>
          <w:color w:val="000000" w:themeColor="text1"/>
          <w:sz w:val="24"/>
          <w:szCs w:val="24"/>
          <w:lang w:bidi="fa-IR"/>
        </w:rPr>
      </w:pPr>
      <w:r w:rsidRPr="00D133C3">
        <w:rPr>
          <w:rFonts w:ascii="Times New Roman" w:hAnsi="Times New Roman" w:cs="Times New Roman"/>
          <w:b/>
          <w:bCs/>
          <w:i/>
          <w:color w:val="000000" w:themeColor="text1"/>
          <w:sz w:val="24"/>
          <w:szCs w:val="24"/>
          <w:lang w:bidi="fa-IR"/>
        </w:rPr>
        <w:t>Gene Expression Analysis (RT-qPCR)</w:t>
      </w:r>
    </w:p>
    <w:p w14:paraId="43FB7649" w14:textId="046F2C6B" w:rsidR="004278DA" w:rsidRPr="00D133C3" w:rsidRDefault="004278DA" w:rsidP="004278DA">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 xml:space="preserve">Total RNA was extracted from tumor tissues using </w:t>
      </w:r>
      <w:proofErr w:type="spellStart"/>
      <w:r w:rsidRPr="00D133C3">
        <w:rPr>
          <w:rFonts w:ascii="Times New Roman" w:hAnsi="Times New Roman" w:cs="Times New Roman"/>
          <w:bCs/>
          <w:color w:val="000000" w:themeColor="text1"/>
          <w:sz w:val="24"/>
          <w:szCs w:val="24"/>
          <w:lang w:bidi="fa-IR"/>
        </w:rPr>
        <w:t>TRIzol</w:t>
      </w:r>
      <w:proofErr w:type="spellEnd"/>
      <w:r w:rsidRPr="00D133C3">
        <w:rPr>
          <w:rFonts w:ascii="Times New Roman" w:hAnsi="Times New Roman" w:cs="Times New Roman"/>
          <w:bCs/>
          <w:color w:val="000000" w:themeColor="text1"/>
          <w:sz w:val="24"/>
          <w:szCs w:val="24"/>
          <w:lang w:bidi="fa-IR"/>
        </w:rPr>
        <w:t xml:space="preserve"> reagent (</w:t>
      </w:r>
      <w:proofErr w:type="spellStart"/>
      <w:r w:rsidR="00456235" w:rsidRPr="00D133C3">
        <w:rPr>
          <w:rFonts w:ascii="Times New Roman" w:hAnsi="Times New Roman" w:cs="Times New Roman"/>
          <w:bCs/>
          <w:color w:val="000000" w:themeColor="text1"/>
          <w:sz w:val="24"/>
          <w:szCs w:val="24"/>
          <w:lang w:bidi="fa-IR"/>
        </w:rPr>
        <w:t>Thermo</w:t>
      </w:r>
      <w:proofErr w:type="spellEnd"/>
      <w:r w:rsidR="00456235" w:rsidRPr="00D133C3">
        <w:rPr>
          <w:rFonts w:ascii="Times New Roman" w:hAnsi="Times New Roman" w:cs="Times New Roman"/>
          <w:bCs/>
          <w:color w:val="000000" w:themeColor="text1"/>
          <w:sz w:val="24"/>
          <w:szCs w:val="24"/>
          <w:lang w:bidi="fa-IR"/>
        </w:rPr>
        <w:t xml:space="preserve"> Fisher Scientific</w:t>
      </w:r>
      <w:r w:rsidRPr="00D133C3">
        <w:rPr>
          <w:rFonts w:ascii="Times New Roman" w:hAnsi="Times New Roman" w:cs="Times New Roman"/>
          <w:bCs/>
          <w:color w:val="000000" w:themeColor="text1"/>
          <w:sz w:val="24"/>
          <w:szCs w:val="24"/>
          <w:lang w:bidi="fa-IR"/>
        </w:rPr>
        <w:t>, USA). cDNA was synthesized using a reverse transcription kit (</w:t>
      </w:r>
      <w:proofErr w:type="spellStart"/>
      <w:r w:rsidR="00456235" w:rsidRPr="00D133C3">
        <w:rPr>
          <w:rFonts w:ascii="Times New Roman" w:hAnsi="Times New Roman" w:cs="Times New Roman"/>
          <w:bCs/>
          <w:color w:val="000000" w:themeColor="text1"/>
          <w:sz w:val="24"/>
          <w:szCs w:val="24"/>
          <w:lang w:bidi="fa-IR"/>
        </w:rPr>
        <w:t>Syntol</w:t>
      </w:r>
      <w:proofErr w:type="spellEnd"/>
      <w:r w:rsidRPr="00D133C3">
        <w:rPr>
          <w:rFonts w:ascii="Times New Roman" w:hAnsi="Times New Roman" w:cs="Times New Roman"/>
          <w:bCs/>
          <w:color w:val="000000" w:themeColor="text1"/>
          <w:sz w:val="24"/>
          <w:szCs w:val="24"/>
          <w:lang w:bidi="fa-IR"/>
        </w:rPr>
        <w:t>, Russia). qPCR was performed using SYBR Green (</w:t>
      </w:r>
      <w:proofErr w:type="spellStart"/>
      <w:r w:rsidRPr="00D133C3">
        <w:rPr>
          <w:rFonts w:ascii="Times New Roman" w:hAnsi="Times New Roman" w:cs="Times New Roman"/>
          <w:bCs/>
          <w:color w:val="000000" w:themeColor="text1"/>
          <w:sz w:val="24"/>
          <w:szCs w:val="24"/>
          <w:lang w:bidi="fa-IR"/>
        </w:rPr>
        <w:t>S</w:t>
      </w:r>
      <w:r w:rsidR="00456235" w:rsidRPr="00D133C3">
        <w:rPr>
          <w:rFonts w:ascii="Times New Roman" w:hAnsi="Times New Roman" w:cs="Times New Roman"/>
          <w:bCs/>
          <w:color w:val="000000" w:themeColor="text1"/>
          <w:sz w:val="24"/>
          <w:szCs w:val="24"/>
          <w:lang w:bidi="fa-IR"/>
        </w:rPr>
        <w:t>yntol</w:t>
      </w:r>
      <w:proofErr w:type="spellEnd"/>
      <w:r w:rsidRPr="00D133C3">
        <w:rPr>
          <w:rFonts w:ascii="Times New Roman" w:hAnsi="Times New Roman" w:cs="Times New Roman"/>
          <w:bCs/>
          <w:color w:val="000000" w:themeColor="text1"/>
          <w:sz w:val="24"/>
          <w:szCs w:val="24"/>
          <w:lang w:bidi="fa-IR"/>
        </w:rPr>
        <w:t xml:space="preserve">, Russia) on a </w:t>
      </w:r>
      <w:proofErr w:type="spellStart"/>
      <w:r w:rsidR="008E02A7" w:rsidRPr="00D133C3">
        <w:rPr>
          <w:rFonts w:ascii="Times New Roman" w:hAnsi="Times New Roman" w:cs="Times New Roman"/>
          <w:bCs/>
          <w:color w:val="000000" w:themeColor="text1"/>
          <w:sz w:val="24"/>
          <w:szCs w:val="24"/>
          <w:lang w:bidi="fa-IR"/>
        </w:rPr>
        <w:t>DTprime</w:t>
      </w:r>
      <w:proofErr w:type="spellEnd"/>
      <w:r w:rsidR="008E02A7" w:rsidRPr="00D133C3">
        <w:rPr>
          <w:rFonts w:ascii="Times New Roman" w:hAnsi="Times New Roman" w:cs="Times New Roman"/>
          <w:bCs/>
          <w:color w:val="000000" w:themeColor="text1"/>
          <w:sz w:val="24"/>
          <w:szCs w:val="24"/>
          <w:lang w:bidi="fa-IR"/>
        </w:rPr>
        <w:t xml:space="preserve"> real-time PCR </w:t>
      </w:r>
      <w:r w:rsidR="00163EC7" w:rsidRPr="00D133C3">
        <w:rPr>
          <w:rFonts w:ascii="Times New Roman" w:hAnsi="Times New Roman" w:cs="Times New Roman"/>
          <w:bCs/>
          <w:color w:val="000000" w:themeColor="text1"/>
          <w:sz w:val="24"/>
          <w:szCs w:val="24"/>
          <w:lang w:bidi="fa-IR"/>
        </w:rPr>
        <w:t>system (DNA-Technology, Russia)</w:t>
      </w:r>
      <w:r w:rsidRPr="00D133C3">
        <w:rPr>
          <w:rFonts w:ascii="Times New Roman" w:hAnsi="Times New Roman" w:cs="Times New Roman"/>
          <w:bCs/>
          <w:color w:val="000000" w:themeColor="text1"/>
          <w:sz w:val="24"/>
          <w:szCs w:val="24"/>
          <w:lang w:bidi="fa-IR"/>
        </w:rPr>
        <w:t xml:space="preserve">. Primers are listed in Table 1. Gene expression was normalized to </w:t>
      </w:r>
      <w:r w:rsidR="00456235" w:rsidRPr="00D133C3">
        <w:rPr>
          <w:rFonts w:ascii="Times New Roman" w:hAnsi="Times New Roman" w:cs="Times New Roman"/>
          <w:bCs/>
          <w:i/>
          <w:color w:val="000000" w:themeColor="text1"/>
          <w:sz w:val="24"/>
          <w:szCs w:val="24"/>
          <w:lang w:bidi="fa-IR"/>
        </w:rPr>
        <w:t>ACTB</w:t>
      </w:r>
      <w:r w:rsidR="00456235" w:rsidRPr="00D133C3">
        <w:rPr>
          <w:rFonts w:ascii="Times New Roman" w:hAnsi="Times New Roman" w:cs="Times New Roman"/>
          <w:bCs/>
          <w:color w:val="000000" w:themeColor="text1"/>
          <w:sz w:val="24"/>
          <w:szCs w:val="24"/>
          <w:lang w:bidi="fa-IR"/>
        </w:rPr>
        <w:t xml:space="preserve"> </w:t>
      </w:r>
      <w:r w:rsidRPr="00D133C3">
        <w:rPr>
          <w:rFonts w:ascii="Times New Roman" w:hAnsi="Times New Roman" w:cs="Times New Roman"/>
          <w:bCs/>
          <w:color w:val="000000" w:themeColor="text1"/>
          <w:sz w:val="24"/>
          <w:szCs w:val="24"/>
          <w:lang w:bidi="fa-IR"/>
        </w:rPr>
        <w:t>and analyzed using the 2</w:t>
      </w:r>
      <w:r w:rsidRPr="00D133C3">
        <w:rPr>
          <w:rFonts w:ascii="Cambria Math" w:hAnsi="Cambria Math" w:cs="Cambria Math"/>
          <w:bCs/>
          <w:color w:val="000000" w:themeColor="text1"/>
          <w:sz w:val="24"/>
          <w:szCs w:val="24"/>
          <w:vertAlign w:val="superscript"/>
          <w:lang w:bidi="fa-IR"/>
        </w:rPr>
        <w:t>⁻</w:t>
      </w:r>
      <w:r w:rsidRPr="00D133C3">
        <w:rPr>
          <w:rFonts w:ascii="Times New Roman" w:hAnsi="Times New Roman" w:cs="Times New Roman"/>
          <w:bCs/>
          <w:color w:val="000000" w:themeColor="text1"/>
          <w:sz w:val="24"/>
          <w:szCs w:val="24"/>
          <w:vertAlign w:val="superscript"/>
          <w:lang w:bidi="fa-IR"/>
        </w:rPr>
        <w:t>ΔΔCt</w:t>
      </w:r>
      <w:r w:rsidRPr="00D133C3">
        <w:rPr>
          <w:rFonts w:ascii="Times New Roman" w:hAnsi="Times New Roman" w:cs="Times New Roman"/>
          <w:bCs/>
          <w:color w:val="000000" w:themeColor="text1"/>
          <w:sz w:val="24"/>
          <w:szCs w:val="24"/>
          <w:lang w:bidi="fa-IR"/>
        </w:rPr>
        <w:t xml:space="preserve"> method.</w:t>
      </w:r>
    </w:p>
    <w:p w14:paraId="47CB80DC" w14:textId="77777777" w:rsidR="00456235" w:rsidRPr="00D133C3" w:rsidRDefault="00456235" w:rsidP="00A75579">
      <w:pPr>
        <w:widowControl w:val="0"/>
        <w:spacing w:after="0" w:line="240" w:lineRule="auto"/>
        <w:rPr>
          <w:rFonts w:ascii="Times New Roman" w:hAnsi="Times New Roman" w:cs="Times New Roman"/>
          <w:bCs/>
          <w:color w:val="000000" w:themeColor="text1"/>
          <w:sz w:val="20"/>
          <w:szCs w:val="20"/>
          <w:lang w:bidi="fa-IR"/>
        </w:rPr>
      </w:pPr>
    </w:p>
    <w:p w14:paraId="3DD80140" w14:textId="0DCB3561" w:rsidR="004278DA" w:rsidRPr="00D133C3" w:rsidRDefault="004278DA" w:rsidP="004278DA">
      <w:pPr>
        <w:widowControl w:val="0"/>
        <w:spacing w:after="0" w:line="240" w:lineRule="auto"/>
        <w:jc w:val="both"/>
        <w:rPr>
          <w:rFonts w:ascii="Times New Roman" w:hAnsi="Times New Roman" w:cs="Times New Roman"/>
          <w:b/>
          <w:bCs/>
          <w:i/>
          <w:color w:val="000000" w:themeColor="text1"/>
          <w:sz w:val="24"/>
          <w:szCs w:val="24"/>
          <w:lang w:bidi="fa-IR"/>
        </w:rPr>
      </w:pPr>
      <w:r w:rsidRPr="00D133C3">
        <w:rPr>
          <w:rFonts w:ascii="Times New Roman" w:hAnsi="Times New Roman" w:cs="Times New Roman"/>
          <w:b/>
          <w:bCs/>
          <w:i/>
          <w:color w:val="000000" w:themeColor="text1"/>
          <w:sz w:val="24"/>
          <w:szCs w:val="24"/>
          <w:lang w:bidi="fa-IR"/>
        </w:rPr>
        <w:t>Protein Analysis (ELISA)</w:t>
      </w:r>
    </w:p>
    <w:p w14:paraId="3EA5DC82" w14:textId="77777777" w:rsidR="00AC5B56" w:rsidRPr="00D133C3" w:rsidRDefault="00AC5B56" w:rsidP="00AC5B56">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 xml:space="preserve">Tumor tissues were homogenized using a BD </w:t>
      </w:r>
      <w:proofErr w:type="spellStart"/>
      <w:r w:rsidRPr="00D133C3">
        <w:rPr>
          <w:rFonts w:ascii="Times New Roman" w:hAnsi="Times New Roman" w:cs="Times New Roman"/>
          <w:bCs/>
          <w:color w:val="000000" w:themeColor="text1"/>
          <w:sz w:val="24"/>
          <w:szCs w:val="24"/>
          <w:lang w:bidi="fa-IR"/>
        </w:rPr>
        <w:t>Medimachine</w:t>
      </w:r>
      <w:proofErr w:type="spellEnd"/>
      <w:r w:rsidRPr="00D133C3">
        <w:rPr>
          <w:rFonts w:ascii="Times New Roman" w:hAnsi="Times New Roman" w:cs="Times New Roman"/>
          <w:bCs/>
          <w:color w:val="000000" w:themeColor="text1"/>
          <w:sz w:val="24"/>
          <w:szCs w:val="24"/>
          <w:lang w:bidi="fa-IR"/>
        </w:rPr>
        <w:t xml:space="preserve"> system (BD Biosciences, USA), followed by centrifugation at 3,000 × g for 10 min at 4°C (Eppendorf 5702 R, Germany). Supernatants were collected for analysis.</w:t>
      </w:r>
    </w:p>
    <w:p w14:paraId="7C094B54" w14:textId="77777777" w:rsidR="00AC5B56" w:rsidRPr="00D133C3" w:rsidRDefault="00AC5B56" w:rsidP="00AC5B56">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 xml:space="preserve">Levels of p53, MDM2, </w:t>
      </w:r>
      <w:proofErr w:type="spellStart"/>
      <w:r w:rsidRPr="00D133C3">
        <w:rPr>
          <w:rFonts w:ascii="Times New Roman" w:hAnsi="Times New Roman" w:cs="Times New Roman"/>
          <w:bCs/>
          <w:color w:val="000000" w:themeColor="text1"/>
          <w:sz w:val="24"/>
          <w:szCs w:val="24"/>
          <w:lang w:bidi="fa-IR"/>
        </w:rPr>
        <w:t>Bax</w:t>
      </w:r>
      <w:proofErr w:type="spellEnd"/>
      <w:r w:rsidRPr="00D133C3">
        <w:rPr>
          <w:rFonts w:ascii="Times New Roman" w:hAnsi="Times New Roman" w:cs="Times New Roman"/>
          <w:bCs/>
          <w:color w:val="000000" w:themeColor="text1"/>
          <w:sz w:val="24"/>
          <w:szCs w:val="24"/>
          <w:lang w:bidi="fa-IR"/>
        </w:rPr>
        <w:t>, Bcl-2, and caspase-9 (CASP9) were measured using commercial ELISA kits (Cloud-Clone Corp., USA) according to the manufacturer’s instructions. Protein concentrations were normalized to tissue weight (</w:t>
      </w:r>
      <w:proofErr w:type="spellStart"/>
      <w:r w:rsidRPr="00D133C3">
        <w:rPr>
          <w:rFonts w:ascii="Times New Roman" w:hAnsi="Times New Roman" w:cs="Times New Roman"/>
          <w:bCs/>
          <w:color w:val="000000" w:themeColor="text1"/>
          <w:sz w:val="24"/>
          <w:szCs w:val="24"/>
          <w:lang w:bidi="fa-IR"/>
        </w:rPr>
        <w:t>pg</w:t>
      </w:r>
      <w:proofErr w:type="spellEnd"/>
      <w:r w:rsidRPr="00D133C3">
        <w:rPr>
          <w:rFonts w:ascii="Times New Roman" w:hAnsi="Times New Roman" w:cs="Times New Roman"/>
          <w:bCs/>
          <w:color w:val="000000" w:themeColor="text1"/>
          <w:sz w:val="24"/>
          <w:szCs w:val="24"/>
          <w:lang w:bidi="fa-IR"/>
        </w:rPr>
        <w:t>/mg or ng/mg).</w:t>
      </w:r>
    </w:p>
    <w:p w14:paraId="0FA78A55" w14:textId="2C512EA3" w:rsidR="00163EC7" w:rsidRPr="00D133C3" w:rsidRDefault="00163EC7" w:rsidP="00C50908">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 xml:space="preserve">The minimum detectable concentrations for each protein were as follows: p53, 27 </w:t>
      </w:r>
      <w:proofErr w:type="spellStart"/>
      <w:r w:rsidRPr="00D133C3">
        <w:rPr>
          <w:rFonts w:ascii="Times New Roman" w:hAnsi="Times New Roman" w:cs="Times New Roman"/>
          <w:bCs/>
          <w:color w:val="000000" w:themeColor="text1"/>
          <w:sz w:val="24"/>
          <w:szCs w:val="24"/>
          <w:lang w:bidi="fa-IR"/>
        </w:rPr>
        <w:t>pg</w:t>
      </w:r>
      <w:proofErr w:type="spellEnd"/>
      <w:r w:rsidRPr="00D133C3">
        <w:rPr>
          <w:rFonts w:ascii="Times New Roman" w:hAnsi="Times New Roman" w:cs="Times New Roman"/>
          <w:bCs/>
          <w:color w:val="000000" w:themeColor="text1"/>
          <w:sz w:val="24"/>
          <w:szCs w:val="24"/>
          <w:lang w:bidi="fa-IR"/>
        </w:rPr>
        <w:t xml:space="preserve">/mL; MDM2, 0.055 ng/mL; </w:t>
      </w:r>
      <w:proofErr w:type="spellStart"/>
      <w:r w:rsidRPr="00D133C3">
        <w:rPr>
          <w:rFonts w:ascii="Times New Roman" w:hAnsi="Times New Roman" w:cs="Times New Roman"/>
          <w:bCs/>
          <w:color w:val="000000" w:themeColor="text1"/>
          <w:sz w:val="24"/>
          <w:szCs w:val="24"/>
          <w:lang w:bidi="fa-IR"/>
        </w:rPr>
        <w:t>Bax</w:t>
      </w:r>
      <w:proofErr w:type="spellEnd"/>
      <w:r w:rsidRPr="00D133C3">
        <w:rPr>
          <w:rFonts w:ascii="Times New Roman" w:hAnsi="Times New Roman" w:cs="Times New Roman"/>
          <w:bCs/>
          <w:color w:val="000000" w:themeColor="text1"/>
          <w:sz w:val="24"/>
          <w:szCs w:val="24"/>
          <w:lang w:bidi="fa-IR"/>
        </w:rPr>
        <w:t xml:space="preserve">, 28.2 </w:t>
      </w:r>
      <w:proofErr w:type="spellStart"/>
      <w:r w:rsidRPr="00D133C3">
        <w:rPr>
          <w:rFonts w:ascii="Times New Roman" w:hAnsi="Times New Roman" w:cs="Times New Roman"/>
          <w:bCs/>
          <w:color w:val="000000" w:themeColor="text1"/>
          <w:sz w:val="24"/>
          <w:szCs w:val="24"/>
          <w:lang w:bidi="fa-IR"/>
        </w:rPr>
        <w:t>pg</w:t>
      </w:r>
      <w:proofErr w:type="spellEnd"/>
      <w:r w:rsidRPr="00D133C3">
        <w:rPr>
          <w:rFonts w:ascii="Times New Roman" w:hAnsi="Times New Roman" w:cs="Times New Roman"/>
          <w:bCs/>
          <w:color w:val="000000" w:themeColor="text1"/>
          <w:sz w:val="24"/>
          <w:szCs w:val="24"/>
          <w:lang w:bidi="fa-IR"/>
        </w:rPr>
        <w:t>/mL; Bcl-2, 0.056 ng/mL; and caspase-9, 0.121 ng/</w:t>
      </w:r>
      <w:proofErr w:type="spellStart"/>
      <w:r w:rsidRPr="00D133C3">
        <w:rPr>
          <w:rFonts w:ascii="Times New Roman" w:hAnsi="Times New Roman" w:cs="Times New Roman"/>
          <w:bCs/>
          <w:color w:val="000000" w:themeColor="text1"/>
          <w:sz w:val="24"/>
          <w:szCs w:val="24"/>
          <w:lang w:bidi="fa-IR"/>
        </w:rPr>
        <w:t>mL.</w:t>
      </w:r>
      <w:proofErr w:type="spellEnd"/>
    </w:p>
    <w:p w14:paraId="4F8565AA" w14:textId="77777777" w:rsidR="00D51B24" w:rsidRPr="00D133C3" w:rsidRDefault="00D51B24" w:rsidP="00D51B24">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 xml:space="preserve">Absorbance was read at 450 nm with a reference wavelength of 630 nm using a microplate reader (MR-96A, </w:t>
      </w:r>
      <w:proofErr w:type="spellStart"/>
      <w:r w:rsidRPr="00D133C3">
        <w:rPr>
          <w:rFonts w:ascii="Times New Roman" w:hAnsi="Times New Roman" w:cs="Times New Roman"/>
          <w:bCs/>
          <w:color w:val="000000" w:themeColor="text1"/>
          <w:sz w:val="24"/>
          <w:szCs w:val="24"/>
          <w:lang w:bidi="fa-IR"/>
        </w:rPr>
        <w:t>Mindray</w:t>
      </w:r>
      <w:proofErr w:type="spellEnd"/>
      <w:r w:rsidRPr="00D133C3">
        <w:rPr>
          <w:rFonts w:ascii="Times New Roman" w:hAnsi="Times New Roman" w:cs="Times New Roman"/>
          <w:bCs/>
          <w:color w:val="000000" w:themeColor="text1"/>
          <w:sz w:val="24"/>
          <w:szCs w:val="24"/>
          <w:lang w:bidi="fa-IR"/>
        </w:rPr>
        <w:t>, China). Washing and incubation steps were performed using automated equipment (StatFax-2600/2200, Awareness Technology, USA).</w:t>
      </w:r>
    </w:p>
    <w:p w14:paraId="323D5F62" w14:textId="77777777" w:rsidR="00D51B24" w:rsidRPr="00D133C3" w:rsidRDefault="00D51B24" w:rsidP="00163EC7">
      <w:pPr>
        <w:widowControl w:val="0"/>
        <w:spacing w:after="0" w:line="240" w:lineRule="auto"/>
        <w:jc w:val="both"/>
        <w:rPr>
          <w:rFonts w:ascii="Times New Roman" w:hAnsi="Times New Roman" w:cs="Times New Roman"/>
          <w:bCs/>
          <w:color w:val="000000" w:themeColor="text1"/>
          <w:sz w:val="24"/>
          <w:szCs w:val="24"/>
          <w:lang w:bidi="fa-IR"/>
        </w:rPr>
      </w:pPr>
    </w:p>
    <w:p w14:paraId="5656D8BB" w14:textId="77777777" w:rsidR="004278DA" w:rsidRPr="00D133C3" w:rsidRDefault="004278DA" w:rsidP="004278DA">
      <w:pPr>
        <w:widowControl w:val="0"/>
        <w:spacing w:after="0" w:line="240" w:lineRule="auto"/>
        <w:jc w:val="both"/>
        <w:rPr>
          <w:rFonts w:ascii="Times New Roman" w:hAnsi="Times New Roman" w:cs="Times New Roman"/>
          <w:b/>
          <w:bCs/>
          <w:i/>
          <w:color w:val="000000" w:themeColor="text1"/>
          <w:sz w:val="24"/>
          <w:szCs w:val="24"/>
          <w:lang w:bidi="fa-IR"/>
        </w:rPr>
      </w:pPr>
      <w:r w:rsidRPr="00D133C3">
        <w:rPr>
          <w:rFonts w:ascii="Times New Roman" w:hAnsi="Times New Roman" w:cs="Times New Roman"/>
          <w:b/>
          <w:bCs/>
          <w:i/>
          <w:color w:val="000000" w:themeColor="text1"/>
          <w:sz w:val="24"/>
          <w:szCs w:val="24"/>
          <w:lang w:bidi="fa-IR"/>
        </w:rPr>
        <w:t>Statistical Analysis</w:t>
      </w:r>
    </w:p>
    <w:p w14:paraId="2781A793" w14:textId="3791CBEB" w:rsidR="00163EC7" w:rsidRPr="00D133C3" w:rsidRDefault="00163EC7" w:rsidP="00167BE4">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 xml:space="preserve">Statistical analyses were performed using </w:t>
      </w:r>
      <w:proofErr w:type="spellStart"/>
      <w:r w:rsidRPr="00D133C3">
        <w:rPr>
          <w:rFonts w:ascii="Times New Roman" w:hAnsi="Times New Roman" w:cs="Times New Roman"/>
          <w:bCs/>
          <w:color w:val="000000" w:themeColor="text1"/>
          <w:sz w:val="24"/>
          <w:szCs w:val="24"/>
          <w:lang w:bidi="fa-IR"/>
        </w:rPr>
        <w:t>Statistica</w:t>
      </w:r>
      <w:proofErr w:type="spellEnd"/>
      <w:r w:rsidRPr="00D133C3">
        <w:rPr>
          <w:rFonts w:ascii="Times New Roman" w:hAnsi="Times New Roman" w:cs="Times New Roman"/>
          <w:bCs/>
          <w:color w:val="000000" w:themeColor="text1"/>
          <w:sz w:val="24"/>
          <w:szCs w:val="24"/>
          <w:lang w:bidi="fa-IR"/>
        </w:rPr>
        <w:t xml:space="preserve"> 10 (</w:t>
      </w:r>
      <w:proofErr w:type="spellStart"/>
      <w:r w:rsidRPr="00D133C3">
        <w:rPr>
          <w:rFonts w:ascii="Times New Roman" w:hAnsi="Times New Roman" w:cs="Times New Roman"/>
          <w:bCs/>
          <w:color w:val="000000" w:themeColor="text1"/>
          <w:sz w:val="24"/>
          <w:szCs w:val="24"/>
          <w:lang w:bidi="fa-IR"/>
        </w:rPr>
        <w:t>StatSoft</w:t>
      </w:r>
      <w:proofErr w:type="spellEnd"/>
      <w:r w:rsidRPr="00D133C3">
        <w:rPr>
          <w:rFonts w:ascii="Times New Roman" w:hAnsi="Times New Roman" w:cs="Times New Roman"/>
          <w:bCs/>
          <w:color w:val="000000" w:themeColor="text1"/>
          <w:sz w:val="24"/>
          <w:szCs w:val="24"/>
          <w:lang w:bidi="fa-IR"/>
        </w:rPr>
        <w:t xml:space="preserve">, USA) and Microsoft Excel 2013. All quantitative data were assessed for normality using the Shapiro-Wilk test. Comparisons between two independent groups with normally distributed data were made using the parametric Student's t-test. For multiple comparisons across three or more groups, the </w:t>
      </w:r>
      <w:proofErr w:type="spellStart"/>
      <w:r w:rsidRPr="00D133C3">
        <w:rPr>
          <w:rFonts w:ascii="Times New Roman" w:hAnsi="Times New Roman" w:cs="Times New Roman"/>
          <w:bCs/>
          <w:color w:val="000000" w:themeColor="text1"/>
          <w:sz w:val="24"/>
          <w:szCs w:val="24"/>
          <w:lang w:bidi="fa-IR"/>
        </w:rPr>
        <w:t>Bonferroni</w:t>
      </w:r>
      <w:proofErr w:type="spellEnd"/>
      <w:r w:rsidRPr="00D133C3">
        <w:rPr>
          <w:rFonts w:ascii="Times New Roman" w:hAnsi="Times New Roman" w:cs="Times New Roman"/>
          <w:bCs/>
          <w:color w:val="000000" w:themeColor="text1"/>
          <w:sz w:val="24"/>
          <w:szCs w:val="24"/>
          <w:lang w:bidi="fa-IR"/>
        </w:rPr>
        <w:t xml:space="preserve"> correction was applied to control the family-wise error rate and minimize the probability of Type I errors. Data from all experiments are expressed as the arithmetic mean ± standard deviation (mean ± SD). A p-value of less than 0.0</w:t>
      </w:r>
      <w:r w:rsidR="00DB1938" w:rsidRPr="00D133C3">
        <w:rPr>
          <w:rFonts w:ascii="Times New Roman" w:hAnsi="Times New Roman" w:cs="Times New Roman"/>
          <w:bCs/>
          <w:color w:val="000000" w:themeColor="text1"/>
          <w:sz w:val="24"/>
          <w:szCs w:val="24"/>
          <w:lang w:bidi="fa-IR"/>
        </w:rPr>
        <w:t>083</w:t>
      </w:r>
      <w:r w:rsidRPr="00D133C3">
        <w:rPr>
          <w:rFonts w:ascii="Times New Roman" w:hAnsi="Times New Roman" w:cs="Times New Roman"/>
          <w:bCs/>
          <w:color w:val="000000" w:themeColor="text1"/>
          <w:sz w:val="24"/>
          <w:szCs w:val="24"/>
          <w:lang w:bidi="fa-IR"/>
        </w:rPr>
        <w:t xml:space="preserve"> (p &lt; 0.0</w:t>
      </w:r>
      <w:r w:rsidR="00DB1938" w:rsidRPr="00D133C3">
        <w:rPr>
          <w:rFonts w:ascii="Times New Roman" w:hAnsi="Times New Roman" w:cs="Times New Roman"/>
          <w:bCs/>
          <w:color w:val="000000" w:themeColor="text1"/>
          <w:sz w:val="24"/>
          <w:szCs w:val="24"/>
          <w:lang w:bidi="fa-IR"/>
        </w:rPr>
        <w:t>083</w:t>
      </w:r>
      <w:r w:rsidRPr="00D133C3">
        <w:rPr>
          <w:rFonts w:ascii="Times New Roman" w:hAnsi="Times New Roman" w:cs="Times New Roman"/>
          <w:bCs/>
          <w:color w:val="000000" w:themeColor="text1"/>
          <w:sz w:val="24"/>
          <w:szCs w:val="24"/>
          <w:lang w:bidi="fa-IR"/>
        </w:rPr>
        <w:t>) was considered statistically significant.</w:t>
      </w:r>
    </w:p>
    <w:p w14:paraId="35028A52" w14:textId="77777777" w:rsidR="00DE1F50" w:rsidRPr="00D133C3" w:rsidRDefault="00DE1F50" w:rsidP="00DE1F50">
      <w:pPr>
        <w:widowControl w:val="0"/>
        <w:spacing w:after="0" w:line="240" w:lineRule="auto"/>
        <w:jc w:val="center"/>
        <w:rPr>
          <w:rFonts w:ascii="Times New Roman" w:hAnsi="Times New Roman" w:cs="Times New Roman"/>
          <w:b/>
          <w:bCs/>
          <w:color w:val="000000" w:themeColor="text1"/>
          <w:sz w:val="24"/>
          <w:szCs w:val="24"/>
          <w:lang w:bidi="fa-IR"/>
        </w:rPr>
      </w:pPr>
    </w:p>
    <w:p w14:paraId="56333B76" w14:textId="3645F631" w:rsidR="004278DA" w:rsidRPr="00D133C3" w:rsidRDefault="00DE1F50" w:rsidP="00DE1F50">
      <w:pPr>
        <w:widowControl w:val="0"/>
        <w:spacing w:after="0" w:line="240" w:lineRule="auto"/>
        <w:jc w:val="center"/>
        <w:rPr>
          <w:rFonts w:ascii="Times New Roman" w:hAnsi="Times New Roman" w:cs="Times New Roman"/>
          <w:b/>
          <w:bCs/>
          <w:color w:val="000000" w:themeColor="text1"/>
          <w:sz w:val="24"/>
          <w:szCs w:val="24"/>
          <w:lang w:bidi="fa-IR"/>
        </w:rPr>
      </w:pPr>
      <w:r w:rsidRPr="00D133C3">
        <w:rPr>
          <w:rFonts w:ascii="Times New Roman" w:hAnsi="Times New Roman" w:cs="Times New Roman"/>
          <w:b/>
          <w:bCs/>
          <w:color w:val="000000" w:themeColor="text1"/>
          <w:sz w:val="24"/>
          <w:szCs w:val="24"/>
          <w:lang w:bidi="fa-IR"/>
        </w:rPr>
        <w:t>RESULTS</w:t>
      </w:r>
    </w:p>
    <w:p w14:paraId="1DE69E9D" w14:textId="77777777" w:rsidR="00DE1F50" w:rsidRPr="00D133C3" w:rsidRDefault="00DE1F50" w:rsidP="00DE1F50">
      <w:pPr>
        <w:widowControl w:val="0"/>
        <w:spacing w:after="0" w:line="240" w:lineRule="auto"/>
        <w:jc w:val="both"/>
        <w:rPr>
          <w:rFonts w:ascii="Times New Roman" w:hAnsi="Times New Roman" w:cs="Times New Roman"/>
          <w:b/>
          <w:bCs/>
          <w:i/>
          <w:color w:val="000000" w:themeColor="text1"/>
          <w:sz w:val="24"/>
          <w:szCs w:val="24"/>
          <w:lang w:bidi="fa-IR"/>
        </w:rPr>
      </w:pPr>
      <w:r w:rsidRPr="00D133C3">
        <w:rPr>
          <w:rFonts w:ascii="Times New Roman" w:hAnsi="Times New Roman" w:cs="Times New Roman"/>
          <w:b/>
          <w:bCs/>
          <w:i/>
          <w:color w:val="000000" w:themeColor="text1"/>
          <w:sz w:val="24"/>
          <w:szCs w:val="24"/>
          <w:lang w:bidi="fa-IR"/>
        </w:rPr>
        <w:t xml:space="preserve">Antitumor Efficacy of JO-122(2) and TMZ </w:t>
      </w:r>
      <w:proofErr w:type="gramStart"/>
      <w:r w:rsidRPr="00D133C3">
        <w:rPr>
          <w:rFonts w:ascii="Times New Roman" w:hAnsi="Times New Roman" w:cs="Times New Roman"/>
          <w:b/>
          <w:bCs/>
          <w:i/>
          <w:color w:val="000000" w:themeColor="text1"/>
          <w:sz w:val="24"/>
          <w:szCs w:val="24"/>
          <w:lang w:bidi="fa-IR"/>
        </w:rPr>
        <w:t>In</w:t>
      </w:r>
      <w:proofErr w:type="gramEnd"/>
      <w:r w:rsidRPr="00D133C3">
        <w:rPr>
          <w:rFonts w:ascii="Times New Roman" w:hAnsi="Times New Roman" w:cs="Times New Roman"/>
          <w:b/>
          <w:bCs/>
          <w:i/>
          <w:color w:val="000000" w:themeColor="text1"/>
          <w:sz w:val="24"/>
          <w:szCs w:val="24"/>
          <w:lang w:bidi="fa-IR"/>
        </w:rPr>
        <w:t xml:space="preserve"> Vivo</w:t>
      </w:r>
    </w:p>
    <w:p w14:paraId="74087191" w14:textId="5CB0765D" w:rsidR="00F52E86" w:rsidRPr="00D133C3" w:rsidRDefault="00F52E86" w:rsidP="006A0CD1">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 xml:space="preserve">The antitumor activity of JO-122(2), both as a monotherapy and in combination with </w:t>
      </w:r>
      <w:r w:rsidR="00D502F3" w:rsidRPr="00D133C3">
        <w:rPr>
          <w:rFonts w:ascii="Times New Roman" w:hAnsi="Times New Roman" w:cs="Times New Roman"/>
          <w:bCs/>
          <w:color w:val="000000" w:themeColor="text1"/>
          <w:sz w:val="24"/>
          <w:szCs w:val="24"/>
          <w:lang w:bidi="fa-IR"/>
        </w:rPr>
        <w:t>TMZ</w:t>
      </w:r>
      <w:r w:rsidRPr="00D133C3">
        <w:rPr>
          <w:rFonts w:ascii="Times New Roman" w:hAnsi="Times New Roman" w:cs="Times New Roman"/>
          <w:bCs/>
          <w:color w:val="000000" w:themeColor="text1"/>
          <w:sz w:val="24"/>
          <w:szCs w:val="24"/>
          <w:lang w:bidi="fa-IR"/>
        </w:rPr>
        <w:t xml:space="preserve">, was evaluated </w:t>
      </w:r>
      <w:r w:rsidRPr="00D133C3">
        <w:rPr>
          <w:rFonts w:ascii="Times New Roman" w:hAnsi="Times New Roman" w:cs="Times New Roman"/>
          <w:bCs/>
          <w:i/>
          <w:color w:val="000000" w:themeColor="text1"/>
          <w:sz w:val="24"/>
          <w:szCs w:val="24"/>
          <w:lang w:bidi="fa-IR"/>
        </w:rPr>
        <w:t>in vivo</w:t>
      </w:r>
      <w:r w:rsidRPr="00D133C3">
        <w:rPr>
          <w:rFonts w:ascii="Times New Roman" w:hAnsi="Times New Roman" w:cs="Times New Roman"/>
          <w:bCs/>
          <w:color w:val="000000" w:themeColor="text1"/>
          <w:sz w:val="24"/>
          <w:szCs w:val="24"/>
          <w:lang w:bidi="fa-IR"/>
        </w:rPr>
        <w:t>. Each experimental cohort included 4 male and 4 female mice. As no statistically significant sex-related differences in tumor volume or other parameters were detected, subsequent analyses were performed on group averages.</w:t>
      </w:r>
    </w:p>
    <w:p w14:paraId="66310487" w14:textId="77777777" w:rsidR="00F52E86" w:rsidRPr="00D133C3" w:rsidRDefault="00F52E86" w:rsidP="006A0CD1">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A significant suppression of tumor growth relative to the control group was first observed on day 11 in mice treated with TMZ alone and with the JO-122(2)/TMZ combination, an effect that was sustained throughout the experiment. In contrast, a statistically significant reduction in tumor volume for the JO-122(2) monotherapy group was only evident by day 13.</w:t>
      </w:r>
    </w:p>
    <w:p w14:paraId="5B34CC48" w14:textId="5DF0536A" w:rsidR="00F52E86" w:rsidRPr="00D133C3" w:rsidRDefault="00F52E86" w:rsidP="006A0CD1">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lastRenderedPageBreak/>
        <w:t>By the endpoint of the study (day 25), the mean tumor volume in the control group reached 1387.44 ± 141.45 mm³. Monotherapy with TMZ and JO-122(2) resulted in a 2.6-fold (535.02 ± 98.50 mm³) and a 1.7-fold (803.59 ± 146.07 mm³) reduction in volume, respectively. The most potent inhibitory effect was achieved with the JO-122(2) and TMZ combination, which reduced the tumor volume by 4.9-fold to 279.14 ± 58.94 mm³ (p &lt; 0.0</w:t>
      </w:r>
      <w:r w:rsidR="00DB1938" w:rsidRPr="00D133C3">
        <w:rPr>
          <w:rFonts w:ascii="Times New Roman" w:hAnsi="Times New Roman" w:cs="Times New Roman"/>
          <w:bCs/>
          <w:color w:val="000000" w:themeColor="text1"/>
          <w:sz w:val="24"/>
          <w:szCs w:val="24"/>
          <w:lang w:bidi="fa-IR"/>
        </w:rPr>
        <w:t>083</w:t>
      </w:r>
      <w:r w:rsidRPr="00D133C3">
        <w:rPr>
          <w:rFonts w:ascii="Times New Roman" w:hAnsi="Times New Roman" w:cs="Times New Roman"/>
          <w:bCs/>
          <w:color w:val="000000" w:themeColor="text1"/>
          <w:sz w:val="24"/>
          <w:szCs w:val="24"/>
          <w:lang w:bidi="fa-IR"/>
        </w:rPr>
        <w:t xml:space="preserve"> vs. control). This value was also significantly lower than those achieved by either monotherapy (p &lt; 0.0</w:t>
      </w:r>
      <w:r w:rsidR="00DB1938" w:rsidRPr="00D133C3">
        <w:rPr>
          <w:rFonts w:ascii="Times New Roman" w:hAnsi="Times New Roman" w:cs="Times New Roman"/>
          <w:bCs/>
          <w:color w:val="000000" w:themeColor="text1"/>
          <w:sz w:val="24"/>
          <w:szCs w:val="24"/>
          <w:lang w:bidi="fa-IR"/>
        </w:rPr>
        <w:t>083</w:t>
      </w:r>
      <w:r w:rsidRPr="00D133C3">
        <w:rPr>
          <w:rFonts w:ascii="Times New Roman" w:hAnsi="Times New Roman" w:cs="Times New Roman"/>
          <w:bCs/>
          <w:color w:val="000000" w:themeColor="text1"/>
          <w:sz w:val="24"/>
          <w:szCs w:val="24"/>
          <w:lang w:bidi="fa-IR"/>
        </w:rPr>
        <w:t>) (Figure 1).</w:t>
      </w:r>
    </w:p>
    <w:p w14:paraId="06371B83" w14:textId="2A360881" w:rsidR="00F52E86" w:rsidRPr="00D133C3" w:rsidRDefault="00F52E86" w:rsidP="006A0CD1">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Analysis of the TGI rate confirmed the superior efficacy of the combination treatment, which yielded a TGI of 79.88%. The TGI values for TMZ and JO-122(2) monotherapies were 61.44% and 42.08%, respectively.</w:t>
      </w:r>
    </w:p>
    <w:p w14:paraId="69A2F021" w14:textId="77777777" w:rsidR="00F52E86" w:rsidRPr="00D133C3" w:rsidRDefault="00F52E86" w:rsidP="006A0CD1">
      <w:pPr>
        <w:widowControl w:val="0"/>
        <w:spacing w:after="0" w:line="240" w:lineRule="auto"/>
        <w:jc w:val="both"/>
        <w:rPr>
          <w:rFonts w:ascii="Times New Roman" w:hAnsi="Times New Roman" w:cs="Times New Roman"/>
          <w:bCs/>
          <w:color w:val="000000" w:themeColor="text1"/>
          <w:sz w:val="24"/>
          <w:szCs w:val="24"/>
          <w:lang w:bidi="fa-IR"/>
        </w:rPr>
      </w:pPr>
    </w:p>
    <w:p w14:paraId="22AC6D23" w14:textId="77777777" w:rsidR="00611A05" w:rsidRPr="00D133C3" w:rsidRDefault="00611A05" w:rsidP="00DE1F50">
      <w:pPr>
        <w:widowControl w:val="0"/>
        <w:spacing w:after="0" w:line="240" w:lineRule="auto"/>
        <w:jc w:val="both"/>
        <w:rPr>
          <w:rFonts w:ascii="Times New Roman" w:hAnsi="Times New Roman" w:cs="Times New Roman"/>
          <w:b/>
          <w:bCs/>
          <w:i/>
          <w:color w:val="000000" w:themeColor="text1"/>
          <w:sz w:val="24"/>
          <w:szCs w:val="24"/>
          <w:lang w:bidi="fa-IR"/>
        </w:rPr>
      </w:pPr>
      <w:r w:rsidRPr="00D133C3">
        <w:rPr>
          <w:rFonts w:ascii="Times New Roman" w:hAnsi="Times New Roman" w:cs="Times New Roman"/>
          <w:b/>
          <w:bCs/>
          <w:i/>
          <w:color w:val="000000" w:themeColor="text1"/>
          <w:sz w:val="24"/>
          <w:szCs w:val="24"/>
          <w:lang w:bidi="fa-IR"/>
        </w:rPr>
        <w:t>Analysis of Gene Expression and Protein Levels Regulating Apoptosis and Cell Cycle</w:t>
      </w:r>
    </w:p>
    <w:p w14:paraId="5240F15B" w14:textId="6A8BFEB0" w:rsidR="00F52E86" w:rsidRPr="00D133C3" w:rsidRDefault="00F52E86" w:rsidP="00DE1F50">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 xml:space="preserve">To elucidate the molecular mechanisms underlying the therapeutic response, we quantified key proteins and mRNA levels regulating apoptosis and cell cycle in glioblastoma xenograft tissues following treatment with </w:t>
      </w:r>
      <w:r w:rsidR="00656568" w:rsidRPr="00D133C3">
        <w:rPr>
          <w:rFonts w:ascii="Times New Roman" w:hAnsi="Times New Roman" w:cs="Times New Roman"/>
          <w:bCs/>
          <w:color w:val="000000" w:themeColor="text1"/>
          <w:sz w:val="24"/>
          <w:szCs w:val="24"/>
          <w:lang w:bidi="fa-IR"/>
        </w:rPr>
        <w:t>TMZ</w:t>
      </w:r>
      <w:r w:rsidRPr="00D133C3">
        <w:rPr>
          <w:rFonts w:ascii="Times New Roman" w:hAnsi="Times New Roman" w:cs="Times New Roman"/>
          <w:bCs/>
          <w:color w:val="000000" w:themeColor="text1"/>
          <w:sz w:val="24"/>
          <w:szCs w:val="24"/>
          <w:lang w:bidi="fa-IR"/>
        </w:rPr>
        <w:t xml:space="preserve">, </w:t>
      </w:r>
      <w:proofErr w:type="spellStart"/>
      <w:r w:rsidRPr="00D133C3">
        <w:rPr>
          <w:rFonts w:ascii="Times New Roman" w:hAnsi="Times New Roman" w:cs="Times New Roman"/>
          <w:bCs/>
          <w:color w:val="000000" w:themeColor="text1"/>
          <w:sz w:val="24"/>
          <w:szCs w:val="24"/>
          <w:lang w:bidi="fa-IR"/>
        </w:rPr>
        <w:t>tropolone</w:t>
      </w:r>
      <w:proofErr w:type="spellEnd"/>
      <w:r w:rsidRPr="00D133C3">
        <w:rPr>
          <w:rFonts w:ascii="Times New Roman" w:hAnsi="Times New Roman" w:cs="Times New Roman"/>
          <w:bCs/>
          <w:color w:val="000000" w:themeColor="text1"/>
          <w:sz w:val="24"/>
          <w:szCs w:val="24"/>
          <w:lang w:bidi="fa-IR"/>
        </w:rPr>
        <w:t xml:space="preserve"> JO-122(2), or their combination. Statistically significant alterations in the concentrations of p53, MDM2, </w:t>
      </w:r>
      <w:proofErr w:type="spellStart"/>
      <w:r w:rsidRPr="00D133C3">
        <w:rPr>
          <w:rFonts w:ascii="Times New Roman" w:hAnsi="Times New Roman" w:cs="Times New Roman"/>
          <w:bCs/>
          <w:color w:val="000000" w:themeColor="text1"/>
          <w:sz w:val="24"/>
          <w:szCs w:val="24"/>
          <w:lang w:bidi="fa-IR"/>
        </w:rPr>
        <w:t>Bax</w:t>
      </w:r>
      <w:proofErr w:type="spellEnd"/>
      <w:r w:rsidRPr="00D133C3">
        <w:rPr>
          <w:rFonts w:ascii="Times New Roman" w:hAnsi="Times New Roman" w:cs="Times New Roman"/>
          <w:bCs/>
          <w:color w:val="000000" w:themeColor="text1"/>
          <w:sz w:val="24"/>
          <w:szCs w:val="24"/>
          <w:lang w:bidi="fa-IR"/>
        </w:rPr>
        <w:t xml:space="preserve">, Bcl2, and CASP9 were observed across treatment groups (Table 2). </w:t>
      </w:r>
    </w:p>
    <w:p w14:paraId="1A2A1E31" w14:textId="046FDB69" w:rsidR="00F52E86" w:rsidRPr="00D133C3" w:rsidRDefault="00F52E86" w:rsidP="00DE1F50">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To determine whether these changes were driven by transcriptional regulation, we analyzed the expression of the corresponding genes (</w:t>
      </w:r>
      <w:r w:rsidRPr="00D133C3">
        <w:rPr>
          <w:rFonts w:ascii="Times New Roman" w:hAnsi="Times New Roman" w:cs="Times New Roman"/>
          <w:bCs/>
          <w:i/>
          <w:color w:val="000000" w:themeColor="text1"/>
          <w:sz w:val="24"/>
          <w:szCs w:val="24"/>
          <w:lang w:bidi="fa-IR"/>
        </w:rPr>
        <w:t>TP53</w:t>
      </w:r>
      <w:r w:rsidRPr="00D133C3">
        <w:rPr>
          <w:rFonts w:ascii="Times New Roman" w:hAnsi="Times New Roman" w:cs="Times New Roman"/>
          <w:bCs/>
          <w:color w:val="000000" w:themeColor="text1"/>
          <w:sz w:val="24"/>
          <w:szCs w:val="24"/>
          <w:lang w:bidi="fa-IR"/>
        </w:rPr>
        <w:t xml:space="preserve">, </w:t>
      </w:r>
      <w:r w:rsidRPr="00D133C3">
        <w:rPr>
          <w:rFonts w:ascii="Times New Roman" w:hAnsi="Times New Roman" w:cs="Times New Roman"/>
          <w:bCs/>
          <w:i/>
          <w:color w:val="000000" w:themeColor="text1"/>
          <w:sz w:val="24"/>
          <w:szCs w:val="24"/>
          <w:lang w:bidi="fa-IR"/>
        </w:rPr>
        <w:t>MDM2</w:t>
      </w:r>
      <w:r w:rsidRPr="00D133C3">
        <w:rPr>
          <w:rFonts w:ascii="Times New Roman" w:hAnsi="Times New Roman" w:cs="Times New Roman"/>
          <w:bCs/>
          <w:color w:val="000000" w:themeColor="text1"/>
          <w:sz w:val="24"/>
          <w:szCs w:val="24"/>
          <w:lang w:bidi="fa-IR"/>
        </w:rPr>
        <w:t xml:space="preserve">, </w:t>
      </w:r>
      <w:r w:rsidRPr="00D133C3">
        <w:rPr>
          <w:rFonts w:ascii="Times New Roman" w:hAnsi="Times New Roman" w:cs="Times New Roman"/>
          <w:bCs/>
          <w:i/>
          <w:color w:val="000000" w:themeColor="text1"/>
          <w:sz w:val="24"/>
          <w:szCs w:val="24"/>
          <w:lang w:bidi="fa-IR"/>
        </w:rPr>
        <w:t>BAX</w:t>
      </w:r>
      <w:r w:rsidRPr="00D133C3">
        <w:rPr>
          <w:rFonts w:ascii="Times New Roman" w:hAnsi="Times New Roman" w:cs="Times New Roman"/>
          <w:bCs/>
          <w:color w:val="000000" w:themeColor="text1"/>
          <w:sz w:val="24"/>
          <w:szCs w:val="24"/>
          <w:lang w:bidi="fa-IR"/>
        </w:rPr>
        <w:t xml:space="preserve">, </w:t>
      </w:r>
      <w:r w:rsidRPr="00D133C3">
        <w:rPr>
          <w:rFonts w:ascii="Times New Roman" w:hAnsi="Times New Roman" w:cs="Times New Roman"/>
          <w:bCs/>
          <w:i/>
          <w:color w:val="000000" w:themeColor="text1"/>
          <w:sz w:val="24"/>
          <w:szCs w:val="24"/>
          <w:lang w:bidi="fa-IR"/>
        </w:rPr>
        <w:t>BCL2</w:t>
      </w:r>
      <w:r w:rsidRPr="00D133C3">
        <w:rPr>
          <w:rFonts w:ascii="Times New Roman" w:hAnsi="Times New Roman" w:cs="Times New Roman"/>
          <w:bCs/>
          <w:color w:val="000000" w:themeColor="text1"/>
          <w:sz w:val="24"/>
          <w:szCs w:val="24"/>
          <w:lang w:bidi="fa-IR"/>
        </w:rPr>
        <w:t xml:space="preserve">, </w:t>
      </w:r>
      <w:r w:rsidRPr="00D133C3">
        <w:rPr>
          <w:rFonts w:ascii="Times New Roman" w:hAnsi="Times New Roman" w:cs="Times New Roman"/>
          <w:bCs/>
          <w:i/>
          <w:color w:val="000000" w:themeColor="text1"/>
          <w:sz w:val="24"/>
          <w:szCs w:val="24"/>
          <w:lang w:bidi="fa-IR"/>
        </w:rPr>
        <w:t>CASP9</w:t>
      </w:r>
      <w:r w:rsidRPr="00D133C3">
        <w:rPr>
          <w:rFonts w:ascii="Times New Roman" w:hAnsi="Times New Roman" w:cs="Times New Roman"/>
          <w:bCs/>
          <w:color w:val="000000" w:themeColor="text1"/>
          <w:sz w:val="24"/>
          <w:szCs w:val="24"/>
          <w:lang w:bidi="fa-IR"/>
        </w:rPr>
        <w:t>) using logarithmic fold-change (log2FC), where positive and negative values indicate upregulation and downregulation, respectively, compared to the control. The combination therapy induced the most pronounced shifts in gene expression, which generally correlated with, but were not always proportional to, protein level changes, suggesting additional post-transcriptional and post-translational regulatory mechanisms (Table 3).</w:t>
      </w:r>
    </w:p>
    <w:p w14:paraId="087167C4" w14:textId="3833D614" w:rsidR="00F52E86" w:rsidRPr="00D133C3" w:rsidRDefault="00F52E86" w:rsidP="00DE1F50">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 xml:space="preserve">The most significant impact was on the tumor suppressor p53. Combination therapy yielded the highest p53 protein concentration (5091.64 ± 590.22 </w:t>
      </w:r>
      <w:proofErr w:type="spellStart"/>
      <w:r w:rsidRPr="00D133C3">
        <w:rPr>
          <w:rFonts w:ascii="Times New Roman" w:hAnsi="Times New Roman" w:cs="Times New Roman"/>
          <w:bCs/>
          <w:color w:val="000000" w:themeColor="text1"/>
          <w:sz w:val="24"/>
          <w:szCs w:val="24"/>
          <w:lang w:bidi="fa-IR"/>
        </w:rPr>
        <w:t>pg</w:t>
      </w:r>
      <w:proofErr w:type="spellEnd"/>
      <w:r w:rsidRPr="00D133C3">
        <w:rPr>
          <w:rFonts w:ascii="Times New Roman" w:hAnsi="Times New Roman" w:cs="Times New Roman"/>
          <w:bCs/>
          <w:color w:val="000000" w:themeColor="text1"/>
          <w:sz w:val="24"/>
          <w:szCs w:val="24"/>
          <w:lang w:bidi="fa-IR"/>
        </w:rPr>
        <w:t xml:space="preserve">/mg), a 1.9-fold increase over control (2650.45 ± 923.65 </w:t>
      </w:r>
      <w:proofErr w:type="spellStart"/>
      <w:r w:rsidRPr="00D133C3">
        <w:rPr>
          <w:rFonts w:ascii="Times New Roman" w:hAnsi="Times New Roman" w:cs="Times New Roman"/>
          <w:bCs/>
          <w:color w:val="000000" w:themeColor="text1"/>
          <w:sz w:val="24"/>
          <w:szCs w:val="24"/>
          <w:lang w:bidi="fa-IR"/>
        </w:rPr>
        <w:t>pg</w:t>
      </w:r>
      <w:proofErr w:type="spellEnd"/>
      <w:r w:rsidRPr="00D133C3">
        <w:rPr>
          <w:rFonts w:ascii="Times New Roman" w:hAnsi="Times New Roman" w:cs="Times New Roman"/>
          <w:bCs/>
          <w:color w:val="000000" w:themeColor="text1"/>
          <w:sz w:val="24"/>
          <w:szCs w:val="24"/>
          <w:lang w:bidi="fa-IR"/>
        </w:rPr>
        <w:t xml:space="preserve">/mg) and significantly higher than TMZ monotherapy (3506.84 ± 369.77 </w:t>
      </w:r>
      <w:proofErr w:type="spellStart"/>
      <w:r w:rsidRPr="00D133C3">
        <w:rPr>
          <w:rFonts w:ascii="Times New Roman" w:hAnsi="Times New Roman" w:cs="Times New Roman"/>
          <w:bCs/>
          <w:color w:val="000000" w:themeColor="text1"/>
          <w:sz w:val="24"/>
          <w:szCs w:val="24"/>
          <w:lang w:bidi="fa-IR"/>
        </w:rPr>
        <w:t>pg</w:t>
      </w:r>
      <w:proofErr w:type="spellEnd"/>
      <w:r w:rsidRPr="00D133C3">
        <w:rPr>
          <w:rFonts w:ascii="Times New Roman" w:hAnsi="Times New Roman" w:cs="Times New Roman"/>
          <w:bCs/>
          <w:color w:val="000000" w:themeColor="text1"/>
          <w:sz w:val="24"/>
          <w:szCs w:val="24"/>
          <w:lang w:bidi="fa-IR"/>
        </w:rPr>
        <w:t>/mg; p&lt;0.0</w:t>
      </w:r>
      <w:r w:rsidR="00DB1938" w:rsidRPr="00D133C3">
        <w:rPr>
          <w:rFonts w:ascii="Times New Roman" w:hAnsi="Times New Roman" w:cs="Times New Roman"/>
          <w:bCs/>
          <w:color w:val="000000" w:themeColor="text1"/>
          <w:sz w:val="24"/>
          <w:szCs w:val="24"/>
          <w:lang w:bidi="fa-IR"/>
        </w:rPr>
        <w:t>083</w:t>
      </w:r>
      <w:r w:rsidRPr="00D133C3">
        <w:rPr>
          <w:rFonts w:ascii="Times New Roman" w:hAnsi="Times New Roman" w:cs="Times New Roman"/>
          <w:bCs/>
          <w:color w:val="000000" w:themeColor="text1"/>
          <w:sz w:val="24"/>
          <w:szCs w:val="24"/>
          <w:lang w:bidi="fa-IR"/>
        </w:rPr>
        <w:t xml:space="preserve">). Notably, </w:t>
      </w:r>
      <w:proofErr w:type="spellStart"/>
      <w:r w:rsidRPr="00D133C3">
        <w:rPr>
          <w:rFonts w:ascii="Times New Roman" w:hAnsi="Times New Roman" w:cs="Times New Roman"/>
          <w:bCs/>
          <w:color w:val="000000" w:themeColor="text1"/>
          <w:sz w:val="24"/>
          <w:szCs w:val="24"/>
          <w:lang w:bidi="fa-IR"/>
        </w:rPr>
        <w:t>tropolone</w:t>
      </w:r>
      <w:proofErr w:type="spellEnd"/>
      <w:r w:rsidRPr="00D133C3">
        <w:rPr>
          <w:rFonts w:ascii="Times New Roman" w:hAnsi="Times New Roman" w:cs="Times New Roman"/>
          <w:bCs/>
          <w:color w:val="000000" w:themeColor="text1"/>
          <w:sz w:val="24"/>
          <w:szCs w:val="24"/>
          <w:lang w:bidi="fa-IR"/>
        </w:rPr>
        <w:t xml:space="preserve"> monotherapy also significantly elevated p53 levels (4428.49 ± 410.93 </w:t>
      </w:r>
      <w:proofErr w:type="spellStart"/>
      <w:r w:rsidRPr="00D133C3">
        <w:rPr>
          <w:rFonts w:ascii="Times New Roman" w:hAnsi="Times New Roman" w:cs="Times New Roman"/>
          <w:bCs/>
          <w:color w:val="000000" w:themeColor="text1"/>
          <w:sz w:val="24"/>
          <w:szCs w:val="24"/>
          <w:lang w:bidi="fa-IR"/>
        </w:rPr>
        <w:t>pg</w:t>
      </w:r>
      <w:proofErr w:type="spellEnd"/>
      <w:r w:rsidRPr="00D133C3">
        <w:rPr>
          <w:rFonts w:ascii="Times New Roman" w:hAnsi="Times New Roman" w:cs="Times New Roman"/>
          <w:bCs/>
          <w:color w:val="000000" w:themeColor="text1"/>
          <w:sz w:val="24"/>
          <w:szCs w:val="24"/>
          <w:lang w:bidi="fa-IR"/>
        </w:rPr>
        <w:t>/mg) above both control and TMZ-alone groups, indicating its independent role in p53 activation.</w:t>
      </w:r>
    </w:p>
    <w:p w14:paraId="669B2FEF" w14:textId="6E767553" w:rsidR="00F52E86" w:rsidRPr="00D133C3" w:rsidRDefault="00F52E86" w:rsidP="00DB15D1">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 xml:space="preserve">This protein accumulation was supported by transcriptional upregulation. </w:t>
      </w:r>
      <w:r w:rsidRPr="00D133C3">
        <w:rPr>
          <w:rFonts w:ascii="Times New Roman" w:hAnsi="Times New Roman" w:cs="Times New Roman"/>
          <w:bCs/>
          <w:i/>
          <w:color w:val="000000" w:themeColor="text1"/>
          <w:sz w:val="24"/>
          <w:szCs w:val="24"/>
          <w:lang w:bidi="fa-IR"/>
        </w:rPr>
        <w:t>TP53</w:t>
      </w:r>
      <w:r w:rsidRPr="00D133C3">
        <w:rPr>
          <w:rFonts w:ascii="Times New Roman" w:hAnsi="Times New Roman" w:cs="Times New Roman"/>
          <w:bCs/>
          <w:color w:val="000000" w:themeColor="text1"/>
          <w:sz w:val="24"/>
          <w:szCs w:val="24"/>
          <w:lang w:bidi="fa-IR"/>
        </w:rPr>
        <w:t xml:space="preserve"> gene expression was significantly increased in all treatment groups compared to control (p&lt;0.0</w:t>
      </w:r>
      <w:r w:rsidR="00DB1938" w:rsidRPr="00D133C3">
        <w:rPr>
          <w:rFonts w:ascii="Times New Roman" w:hAnsi="Times New Roman" w:cs="Times New Roman"/>
          <w:bCs/>
          <w:color w:val="000000" w:themeColor="text1"/>
          <w:sz w:val="24"/>
          <w:szCs w:val="24"/>
          <w:lang w:bidi="fa-IR"/>
        </w:rPr>
        <w:t>083</w:t>
      </w:r>
      <w:r w:rsidRPr="00D133C3">
        <w:rPr>
          <w:rFonts w:ascii="Times New Roman" w:hAnsi="Times New Roman" w:cs="Times New Roman"/>
          <w:bCs/>
          <w:color w:val="000000" w:themeColor="text1"/>
          <w:sz w:val="24"/>
          <w:szCs w:val="24"/>
          <w:lang w:bidi="fa-IR"/>
        </w:rPr>
        <w:t xml:space="preserve">), with the highest log2FC observed for the combination (0.49 ± 0.28). </w:t>
      </w:r>
      <w:proofErr w:type="spellStart"/>
      <w:r w:rsidRPr="00D133C3">
        <w:rPr>
          <w:rFonts w:ascii="Times New Roman" w:hAnsi="Times New Roman" w:cs="Times New Roman"/>
          <w:bCs/>
          <w:color w:val="000000" w:themeColor="text1"/>
          <w:sz w:val="24"/>
          <w:szCs w:val="24"/>
          <w:lang w:bidi="fa-IR"/>
        </w:rPr>
        <w:t>Tropolone</w:t>
      </w:r>
      <w:proofErr w:type="spellEnd"/>
      <w:r w:rsidRPr="00D133C3">
        <w:rPr>
          <w:rFonts w:ascii="Times New Roman" w:hAnsi="Times New Roman" w:cs="Times New Roman"/>
          <w:bCs/>
          <w:color w:val="000000" w:themeColor="text1"/>
          <w:sz w:val="24"/>
          <w:szCs w:val="24"/>
          <w:lang w:bidi="fa-IR"/>
        </w:rPr>
        <w:t xml:space="preserve"> alone (0.42 ± 0.23) also induced greater </w:t>
      </w:r>
      <w:r w:rsidRPr="00D133C3">
        <w:rPr>
          <w:rFonts w:ascii="Times New Roman" w:hAnsi="Times New Roman" w:cs="Times New Roman"/>
          <w:bCs/>
          <w:i/>
          <w:color w:val="000000" w:themeColor="text1"/>
          <w:sz w:val="24"/>
          <w:szCs w:val="24"/>
          <w:lang w:bidi="fa-IR"/>
        </w:rPr>
        <w:t>TP53</w:t>
      </w:r>
      <w:r w:rsidRPr="00D133C3">
        <w:rPr>
          <w:rFonts w:ascii="Times New Roman" w:hAnsi="Times New Roman" w:cs="Times New Roman"/>
          <w:bCs/>
          <w:color w:val="000000" w:themeColor="text1"/>
          <w:sz w:val="24"/>
          <w:szCs w:val="24"/>
          <w:lang w:bidi="fa-IR"/>
        </w:rPr>
        <w:t xml:space="preserve"> expression than TMZ monotherapy (0.26 ± 0.23), confirming its potency in both stabilizing and transcriptionally activating p53.</w:t>
      </w:r>
    </w:p>
    <w:p w14:paraId="3E1F7312" w14:textId="6CBA50EA" w:rsidR="00D502F3" w:rsidRPr="00D133C3" w:rsidRDefault="00D502F3" w:rsidP="00D502F3">
      <w:pPr>
        <w:spacing w:after="0"/>
        <w:jc w:val="both"/>
        <w:rPr>
          <w:rFonts w:ascii="Times New Roman" w:hAnsi="Times New Roman" w:cs="Times New Roman"/>
          <w:bCs/>
          <w:color w:val="FF0000"/>
          <w:sz w:val="24"/>
          <w:szCs w:val="24"/>
          <w:lang w:bidi="fa-IR"/>
        </w:rPr>
      </w:pPr>
      <w:r w:rsidRPr="00D133C3">
        <w:rPr>
          <w:rFonts w:ascii="Times New Roman" w:hAnsi="Times New Roman" w:cs="Times New Roman"/>
          <w:bCs/>
          <w:sz w:val="24"/>
          <w:szCs w:val="24"/>
          <w:lang w:bidi="fa-IR"/>
        </w:rPr>
        <w:t>The activation of the p53 protein observed during therapy significantly affects the expression of its target genes, among which MDM2, a key negative regulator of p</w:t>
      </w:r>
      <w:r w:rsidR="00E010C9" w:rsidRPr="00D133C3">
        <w:rPr>
          <w:rFonts w:ascii="Times New Roman" w:hAnsi="Times New Roman" w:cs="Times New Roman"/>
          <w:bCs/>
          <w:sz w:val="24"/>
          <w:szCs w:val="24"/>
          <w:lang w:bidi="fa-IR"/>
        </w:rPr>
        <w:t>53, is of particular importance</w:t>
      </w:r>
      <w:r w:rsidRPr="00D133C3">
        <w:rPr>
          <w:rFonts w:ascii="Times New Roman" w:hAnsi="Times New Roman" w:cs="Times New Roman"/>
          <w:bCs/>
          <w:sz w:val="24"/>
          <w:szCs w:val="24"/>
          <w:lang w:bidi="fa-IR"/>
        </w:rPr>
        <w:t>. Accordingly, combination therapy resulted in the most pronounced suppression of MDM2 protein levels (0.27 ± 0.10 ng/mg), representing an approximately 4-fold decrease compared to the co</w:t>
      </w:r>
      <w:r w:rsidR="00DB1938" w:rsidRPr="00D133C3">
        <w:rPr>
          <w:rFonts w:ascii="Times New Roman" w:hAnsi="Times New Roman" w:cs="Times New Roman"/>
          <w:bCs/>
          <w:sz w:val="24"/>
          <w:szCs w:val="24"/>
          <w:lang w:bidi="fa-IR"/>
        </w:rPr>
        <w:t>ntrol (1.08 ± 0.27 ng/mg; p&lt;0.0083</w:t>
      </w:r>
      <w:r w:rsidRPr="00D133C3">
        <w:rPr>
          <w:rFonts w:ascii="Times New Roman" w:hAnsi="Times New Roman" w:cs="Times New Roman"/>
          <w:bCs/>
          <w:sz w:val="24"/>
          <w:szCs w:val="24"/>
          <w:lang w:bidi="fa-IR"/>
        </w:rPr>
        <w:t xml:space="preserve">). </w:t>
      </w:r>
      <w:proofErr w:type="spellStart"/>
      <w:r w:rsidRPr="00D133C3">
        <w:rPr>
          <w:rFonts w:ascii="Times New Roman" w:hAnsi="Times New Roman" w:cs="Times New Roman"/>
          <w:bCs/>
          <w:sz w:val="24"/>
          <w:szCs w:val="24"/>
          <w:lang w:bidi="fa-IR"/>
        </w:rPr>
        <w:t>Tropolone</w:t>
      </w:r>
      <w:proofErr w:type="spellEnd"/>
      <w:r w:rsidRPr="00D133C3">
        <w:rPr>
          <w:rFonts w:ascii="Times New Roman" w:hAnsi="Times New Roman" w:cs="Times New Roman"/>
          <w:bCs/>
          <w:sz w:val="24"/>
          <w:szCs w:val="24"/>
          <w:lang w:bidi="fa-IR"/>
        </w:rPr>
        <w:t xml:space="preserve"> monotherapy also significantly reduced MDM2 levels (0.32 ± 0.08 ng/mg) compared to both the control and TMZ groups. At the transcriptional level, </w:t>
      </w:r>
      <w:r w:rsidRPr="00D133C3">
        <w:rPr>
          <w:rFonts w:ascii="Times New Roman" w:hAnsi="Times New Roman" w:cs="Times New Roman"/>
          <w:bCs/>
          <w:i/>
          <w:sz w:val="24"/>
          <w:szCs w:val="24"/>
          <w:lang w:bidi="fa-IR"/>
        </w:rPr>
        <w:t>MDM2</w:t>
      </w:r>
      <w:r w:rsidRPr="00D133C3">
        <w:rPr>
          <w:rFonts w:ascii="Times New Roman" w:hAnsi="Times New Roman" w:cs="Times New Roman"/>
          <w:bCs/>
          <w:sz w:val="24"/>
          <w:szCs w:val="24"/>
          <w:lang w:bidi="fa-IR"/>
        </w:rPr>
        <w:t xml:space="preserve"> expression was most strongly inhibited by the combination treatment (-1.51 ± 0.36, ~2.8-fold decrease) and </w:t>
      </w:r>
      <w:proofErr w:type="spellStart"/>
      <w:r w:rsidRPr="00D133C3">
        <w:rPr>
          <w:rFonts w:ascii="Times New Roman" w:hAnsi="Times New Roman" w:cs="Times New Roman"/>
          <w:bCs/>
          <w:sz w:val="24"/>
          <w:szCs w:val="24"/>
          <w:lang w:bidi="fa-IR"/>
        </w:rPr>
        <w:t>tropolone</w:t>
      </w:r>
      <w:proofErr w:type="spellEnd"/>
      <w:r w:rsidRPr="00D133C3">
        <w:rPr>
          <w:rFonts w:ascii="Times New Roman" w:hAnsi="Times New Roman" w:cs="Times New Roman"/>
          <w:bCs/>
          <w:sz w:val="24"/>
          <w:szCs w:val="24"/>
          <w:lang w:bidi="fa-IR"/>
        </w:rPr>
        <w:t xml:space="preserve"> alone (-1.25 ± 0.30, ~2.4-fold decrease), compared to a modest reduction with TMZ monotherapy (-0.62 ± 0.23, ~1.5-fold decrease). This synergistic inhibition of MDM2 likely contributes to the enhanced stabilization and activity of p53 observed in the combination group</w:t>
      </w:r>
      <w:r w:rsidRPr="00D133C3">
        <w:rPr>
          <w:rFonts w:ascii="Times New Roman" w:hAnsi="Times New Roman" w:cs="Times New Roman"/>
          <w:bCs/>
          <w:color w:val="FF0000"/>
          <w:sz w:val="24"/>
          <w:szCs w:val="24"/>
          <w:lang w:bidi="fa-IR"/>
        </w:rPr>
        <w:t>.</w:t>
      </w:r>
    </w:p>
    <w:p w14:paraId="5C964172" w14:textId="402768AE" w:rsidR="00F52E86" w:rsidRPr="00D133C3" w:rsidRDefault="004602FF" w:rsidP="00D502F3">
      <w:pPr>
        <w:spacing w:after="0"/>
        <w:jc w:val="both"/>
        <w:rPr>
          <w:rFonts w:ascii="Times New Roman" w:hAnsi="Times New Roman" w:cs="Times New Roman"/>
          <w:bCs/>
          <w:color w:val="FF0000"/>
          <w:sz w:val="24"/>
          <w:szCs w:val="24"/>
          <w:lang w:bidi="fa-IR"/>
        </w:rPr>
      </w:pPr>
      <w:r w:rsidRPr="00D133C3">
        <w:rPr>
          <w:rFonts w:ascii="Times New Roman" w:hAnsi="Times New Roman" w:cs="Times New Roman"/>
          <w:bCs/>
          <w:color w:val="000000" w:themeColor="text1"/>
          <w:sz w:val="24"/>
          <w:szCs w:val="24"/>
          <w:lang w:bidi="fa-IR"/>
        </w:rPr>
        <w:t xml:space="preserve">The stabilization of p53 facilitated the activation of its pro-apoptotic target, </w:t>
      </w:r>
      <w:proofErr w:type="spellStart"/>
      <w:r w:rsidRPr="00D133C3">
        <w:rPr>
          <w:rFonts w:ascii="Times New Roman" w:hAnsi="Times New Roman" w:cs="Times New Roman"/>
          <w:bCs/>
          <w:color w:val="000000" w:themeColor="text1"/>
          <w:sz w:val="24"/>
          <w:szCs w:val="24"/>
          <w:lang w:bidi="fa-IR"/>
        </w:rPr>
        <w:t>Bax</w:t>
      </w:r>
      <w:proofErr w:type="spellEnd"/>
      <w:r w:rsidRPr="00D133C3">
        <w:rPr>
          <w:rFonts w:ascii="Times New Roman" w:hAnsi="Times New Roman" w:cs="Times New Roman"/>
          <w:bCs/>
          <w:color w:val="000000" w:themeColor="text1"/>
          <w:sz w:val="24"/>
          <w:szCs w:val="24"/>
          <w:lang w:bidi="fa-IR"/>
        </w:rPr>
        <w:t xml:space="preserve">. The </w:t>
      </w:r>
      <w:proofErr w:type="spellStart"/>
      <w:r w:rsidRPr="00D133C3">
        <w:rPr>
          <w:rFonts w:ascii="Times New Roman" w:hAnsi="Times New Roman" w:cs="Times New Roman"/>
          <w:bCs/>
          <w:color w:val="000000" w:themeColor="text1"/>
          <w:sz w:val="24"/>
          <w:szCs w:val="24"/>
          <w:lang w:bidi="fa-IR"/>
        </w:rPr>
        <w:t>Bax</w:t>
      </w:r>
      <w:proofErr w:type="spellEnd"/>
      <w:r w:rsidRPr="00D133C3">
        <w:rPr>
          <w:rFonts w:ascii="Times New Roman" w:hAnsi="Times New Roman" w:cs="Times New Roman"/>
          <w:bCs/>
          <w:color w:val="000000" w:themeColor="text1"/>
          <w:sz w:val="24"/>
          <w:szCs w:val="24"/>
          <w:lang w:bidi="fa-IR"/>
        </w:rPr>
        <w:t xml:space="preserve"> protein level was highest in the combination group (3967.93 ± 751.33 </w:t>
      </w:r>
      <w:proofErr w:type="spellStart"/>
      <w:r w:rsidRPr="00D133C3">
        <w:rPr>
          <w:rFonts w:ascii="Times New Roman" w:hAnsi="Times New Roman" w:cs="Times New Roman"/>
          <w:bCs/>
          <w:color w:val="000000" w:themeColor="text1"/>
          <w:sz w:val="24"/>
          <w:szCs w:val="24"/>
          <w:lang w:bidi="fa-IR"/>
        </w:rPr>
        <w:t>pg</w:t>
      </w:r>
      <w:proofErr w:type="spellEnd"/>
      <w:r w:rsidRPr="00D133C3">
        <w:rPr>
          <w:rFonts w:ascii="Times New Roman" w:hAnsi="Times New Roman" w:cs="Times New Roman"/>
          <w:bCs/>
          <w:color w:val="000000" w:themeColor="text1"/>
          <w:sz w:val="24"/>
          <w:szCs w:val="24"/>
          <w:lang w:bidi="fa-IR"/>
        </w:rPr>
        <w:t xml:space="preserve">/mg), significantly exceeding control (3151.16 ± 1190.14 </w:t>
      </w:r>
      <w:proofErr w:type="spellStart"/>
      <w:r w:rsidRPr="00D133C3">
        <w:rPr>
          <w:rFonts w:ascii="Times New Roman" w:hAnsi="Times New Roman" w:cs="Times New Roman"/>
          <w:bCs/>
          <w:color w:val="000000" w:themeColor="text1"/>
          <w:sz w:val="24"/>
          <w:szCs w:val="24"/>
          <w:lang w:bidi="fa-IR"/>
        </w:rPr>
        <w:t>pg</w:t>
      </w:r>
      <w:proofErr w:type="spellEnd"/>
      <w:r w:rsidRPr="00D133C3">
        <w:rPr>
          <w:rFonts w:ascii="Times New Roman" w:hAnsi="Times New Roman" w:cs="Times New Roman"/>
          <w:bCs/>
          <w:color w:val="000000" w:themeColor="text1"/>
          <w:sz w:val="24"/>
          <w:szCs w:val="24"/>
          <w:lang w:bidi="fa-IR"/>
        </w:rPr>
        <w:t xml:space="preserve">/mg) and TMZ monotherapy (2979.73 ± 382.30 </w:t>
      </w:r>
      <w:proofErr w:type="spellStart"/>
      <w:r w:rsidRPr="00D133C3">
        <w:rPr>
          <w:rFonts w:ascii="Times New Roman" w:hAnsi="Times New Roman" w:cs="Times New Roman"/>
          <w:bCs/>
          <w:color w:val="000000" w:themeColor="text1"/>
          <w:sz w:val="24"/>
          <w:szCs w:val="24"/>
          <w:lang w:bidi="fa-IR"/>
        </w:rPr>
        <w:t>pg</w:t>
      </w:r>
      <w:proofErr w:type="spellEnd"/>
      <w:r w:rsidRPr="00D133C3">
        <w:rPr>
          <w:rFonts w:ascii="Times New Roman" w:hAnsi="Times New Roman" w:cs="Times New Roman"/>
          <w:bCs/>
          <w:color w:val="000000" w:themeColor="text1"/>
          <w:sz w:val="24"/>
          <w:szCs w:val="24"/>
          <w:lang w:bidi="fa-IR"/>
        </w:rPr>
        <w:t>/mg; p&lt;0.0</w:t>
      </w:r>
      <w:r w:rsidR="00DB1938" w:rsidRPr="00D133C3">
        <w:rPr>
          <w:rFonts w:ascii="Times New Roman" w:hAnsi="Times New Roman" w:cs="Times New Roman"/>
          <w:bCs/>
          <w:color w:val="000000" w:themeColor="text1"/>
          <w:sz w:val="24"/>
          <w:szCs w:val="24"/>
          <w:lang w:bidi="fa-IR"/>
        </w:rPr>
        <w:t>083</w:t>
      </w:r>
      <w:r w:rsidRPr="00D133C3">
        <w:rPr>
          <w:rFonts w:ascii="Times New Roman" w:hAnsi="Times New Roman" w:cs="Times New Roman"/>
          <w:bCs/>
          <w:color w:val="000000" w:themeColor="text1"/>
          <w:sz w:val="24"/>
          <w:szCs w:val="24"/>
          <w:lang w:bidi="fa-IR"/>
        </w:rPr>
        <w:t xml:space="preserve">). </w:t>
      </w:r>
      <w:proofErr w:type="spellStart"/>
      <w:r w:rsidRPr="00D133C3">
        <w:rPr>
          <w:rFonts w:ascii="Times New Roman" w:hAnsi="Times New Roman" w:cs="Times New Roman"/>
          <w:bCs/>
          <w:color w:val="000000" w:themeColor="text1"/>
          <w:sz w:val="24"/>
          <w:szCs w:val="24"/>
          <w:lang w:bidi="fa-IR"/>
        </w:rPr>
        <w:t>Tropolone</w:t>
      </w:r>
      <w:proofErr w:type="spellEnd"/>
      <w:r w:rsidRPr="00D133C3">
        <w:rPr>
          <w:rFonts w:ascii="Times New Roman" w:hAnsi="Times New Roman" w:cs="Times New Roman"/>
          <w:bCs/>
          <w:color w:val="000000" w:themeColor="text1"/>
          <w:sz w:val="24"/>
          <w:szCs w:val="24"/>
          <w:lang w:bidi="fa-IR"/>
        </w:rPr>
        <w:t xml:space="preserve"> monotherapy also elevated </w:t>
      </w:r>
      <w:proofErr w:type="spellStart"/>
      <w:r w:rsidRPr="00D133C3">
        <w:rPr>
          <w:rFonts w:ascii="Times New Roman" w:hAnsi="Times New Roman" w:cs="Times New Roman"/>
          <w:bCs/>
          <w:color w:val="000000" w:themeColor="text1"/>
          <w:sz w:val="24"/>
          <w:szCs w:val="24"/>
          <w:lang w:bidi="fa-IR"/>
        </w:rPr>
        <w:t>Bax</w:t>
      </w:r>
      <w:proofErr w:type="spellEnd"/>
      <w:r w:rsidRPr="00D133C3">
        <w:rPr>
          <w:rFonts w:ascii="Times New Roman" w:hAnsi="Times New Roman" w:cs="Times New Roman"/>
          <w:bCs/>
          <w:color w:val="000000" w:themeColor="text1"/>
          <w:sz w:val="24"/>
          <w:szCs w:val="24"/>
          <w:lang w:bidi="fa-IR"/>
        </w:rPr>
        <w:t xml:space="preserve"> (3781.16 ± 760.40 </w:t>
      </w:r>
      <w:proofErr w:type="spellStart"/>
      <w:r w:rsidRPr="00D133C3">
        <w:rPr>
          <w:rFonts w:ascii="Times New Roman" w:hAnsi="Times New Roman" w:cs="Times New Roman"/>
          <w:bCs/>
          <w:color w:val="000000" w:themeColor="text1"/>
          <w:sz w:val="24"/>
          <w:szCs w:val="24"/>
          <w:lang w:bidi="fa-IR"/>
        </w:rPr>
        <w:t>pg</w:t>
      </w:r>
      <w:proofErr w:type="spellEnd"/>
      <w:r w:rsidRPr="00D133C3">
        <w:rPr>
          <w:rFonts w:ascii="Times New Roman" w:hAnsi="Times New Roman" w:cs="Times New Roman"/>
          <w:bCs/>
          <w:color w:val="000000" w:themeColor="text1"/>
          <w:sz w:val="24"/>
          <w:szCs w:val="24"/>
          <w:lang w:bidi="fa-IR"/>
        </w:rPr>
        <w:t xml:space="preserve">/mg). Concordantly, </w:t>
      </w:r>
      <w:r w:rsidRPr="00D133C3">
        <w:rPr>
          <w:rFonts w:ascii="Times New Roman" w:hAnsi="Times New Roman" w:cs="Times New Roman"/>
          <w:bCs/>
          <w:i/>
          <w:color w:val="000000" w:themeColor="text1"/>
          <w:sz w:val="24"/>
          <w:szCs w:val="24"/>
          <w:lang w:bidi="fa-IR"/>
        </w:rPr>
        <w:t>BAX</w:t>
      </w:r>
      <w:r w:rsidRPr="00D133C3">
        <w:rPr>
          <w:rFonts w:ascii="Times New Roman" w:hAnsi="Times New Roman" w:cs="Times New Roman"/>
          <w:bCs/>
          <w:color w:val="000000" w:themeColor="text1"/>
          <w:sz w:val="24"/>
          <w:szCs w:val="24"/>
          <w:lang w:bidi="fa-IR"/>
        </w:rPr>
        <w:t xml:space="preserve"> gene expression was significantly upregulated by the combination (0.89 ± 0.25) and </w:t>
      </w:r>
      <w:proofErr w:type="spellStart"/>
      <w:r w:rsidRPr="00D133C3">
        <w:rPr>
          <w:rFonts w:ascii="Times New Roman" w:hAnsi="Times New Roman" w:cs="Times New Roman"/>
          <w:bCs/>
          <w:color w:val="000000" w:themeColor="text1"/>
          <w:sz w:val="24"/>
          <w:szCs w:val="24"/>
          <w:lang w:bidi="fa-IR"/>
        </w:rPr>
        <w:t>tropolone</w:t>
      </w:r>
      <w:proofErr w:type="spellEnd"/>
      <w:r w:rsidRPr="00D133C3">
        <w:rPr>
          <w:rFonts w:ascii="Times New Roman" w:hAnsi="Times New Roman" w:cs="Times New Roman"/>
          <w:bCs/>
          <w:color w:val="000000" w:themeColor="text1"/>
          <w:sz w:val="24"/>
          <w:szCs w:val="24"/>
          <w:lang w:bidi="fa-IR"/>
        </w:rPr>
        <w:t xml:space="preserve"> alone (0.77 ± 0.25), but not by TMZ monotherapy.</w:t>
      </w:r>
    </w:p>
    <w:p w14:paraId="3FDDDCE3" w14:textId="504D7373" w:rsidR="003D6A13" w:rsidRPr="00D133C3" w:rsidRDefault="003D6A13" w:rsidP="00864B83">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lastRenderedPageBreak/>
        <w:t>Conversely, the anti-apoptotic protein Bcl2 was profoundly suppressed. Its concentration was minimized by combination therapy (0.21 ± 0.08 ng/mg vs. 1.54 ± 0.67 ng/mg in control; p&lt;0.0</w:t>
      </w:r>
      <w:r w:rsidR="00DB1938" w:rsidRPr="00D133C3">
        <w:rPr>
          <w:rFonts w:ascii="Times New Roman" w:hAnsi="Times New Roman" w:cs="Times New Roman"/>
          <w:bCs/>
          <w:color w:val="000000" w:themeColor="text1"/>
          <w:sz w:val="24"/>
          <w:szCs w:val="24"/>
          <w:lang w:bidi="fa-IR"/>
        </w:rPr>
        <w:t>083</w:t>
      </w:r>
      <w:r w:rsidRPr="00D133C3">
        <w:rPr>
          <w:rFonts w:ascii="Times New Roman" w:hAnsi="Times New Roman" w:cs="Times New Roman"/>
          <w:bCs/>
          <w:color w:val="000000" w:themeColor="text1"/>
          <w:sz w:val="24"/>
          <w:szCs w:val="24"/>
          <w:lang w:bidi="fa-IR"/>
        </w:rPr>
        <w:t xml:space="preserve">) and significantly reduced by </w:t>
      </w:r>
      <w:proofErr w:type="spellStart"/>
      <w:r w:rsidRPr="00D133C3">
        <w:rPr>
          <w:rFonts w:ascii="Times New Roman" w:hAnsi="Times New Roman" w:cs="Times New Roman"/>
          <w:bCs/>
          <w:color w:val="000000" w:themeColor="text1"/>
          <w:sz w:val="24"/>
          <w:szCs w:val="24"/>
          <w:lang w:bidi="fa-IR"/>
        </w:rPr>
        <w:t>tropolone</w:t>
      </w:r>
      <w:proofErr w:type="spellEnd"/>
      <w:r w:rsidRPr="00D133C3">
        <w:rPr>
          <w:rFonts w:ascii="Times New Roman" w:hAnsi="Times New Roman" w:cs="Times New Roman"/>
          <w:bCs/>
          <w:color w:val="000000" w:themeColor="text1"/>
          <w:sz w:val="24"/>
          <w:szCs w:val="24"/>
          <w:lang w:bidi="fa-IR"/>
        </w:rPr>
        <w:t xml:space="preserve"> monotherapy (0.42 ± 0.14 ng/mg). TMZ monotherapy had a modest effect (1.04 ± 0.29 ng/mg). This effect was transcriptionally mediated, as </w:t>
      </w:r>
      <w:r w:rsidRPr="00D133C3">
        <w:rPr>
          <w:rFonts w:ascii="Times New Roman" w:hAnsi="Times New Roman" w:cs="Times New Roman"/>
          <w:bCs/>
          <w:i/>
          <w:color w:val="000000" w:themeColor="text1"/>
          <w:sz w:val="24"/>
          <w:szCs w:val="24"/>
          <w:lang w:bidi="fa-IR"/>
        </w:rPr>
        <w:t>BCL2</w:t>
      </w:r>
      <w:r w:rsidRPr="00D133C3">
        <w:rPr>
          <w:rFonts w:ascii="Times New Roman" w:hAnsi="Times New Roman" w:cs="Times New Roman"/>
          <w:bCs/>
          <w:color w:val="000000" w:themeColor="text1"/>
          <w:sz w:val="24"/>
          <w:szCs w:val="24"/>
          <w:lang w:bidi="fa-IR"/>
        </w:rPr>
        <w:t xml:space="preserve"> gene expression was strongly downregulated by the combination (-1.74 ± 0.42) and </w:t>
      </w:r>
      <w:proofErr w:type="spellStart"/>
      <w:r w:rsidRPr="00D133C3">
        <w:rPr>
          <w:rFonts w:ascii="Times New Roman" w:hAnsi="Times New Roman" w:cs="Times New Roman"/>
          <w:bCs/>
          <w:color w:val="000000" w:themeColor="text1"/>
          <w:sz w:val="24"/>
          <w:szCs w:val="24"/>
          <w:lang w:bidi="fa-IR"/>
        </w:rPr>
        <w:t>tropolone</w:t>
      </w:r>
      <w:proofErr w:type="spellEnd"/>
      <w:r w:rsidRPr="00D133C3">
        <w:rPr>
          <w:rFonts w:ascii="Times New Roman" w:hAnsi="Times New Roman" w:cs="Times New Roman"/>
          <w:bCs/>
          <w:color w:val="000000" w:themeColor="text1"/>
          <w:sz w:val="24"/>
          <w:szCs w:val="24"/>
          <w:lang w:bidi="fa-IR"/>
        </w:rPr>
        <w:t xml:space="preserve"> (-1.34 ± 0.35), but not by TMZ. The resulting decrease in the Bcl2/</w:t>
      </w:r>
      <w:proofErr w:type="spellStart"/>
      <w:r w:rsidRPr="00D133C3">
        <w:rPr>
          <w:rFonts w:ascii="Times New Roman" w:hAnsi="Times New Roman" w:cs="Times New Roman"/>
          <w:bCs/>
          <w:color w:val="000000" w:themeColor="text1"/>
          <w:sz w:val="24"/>
          <w:szCs w:val="24"/>
          <w:lang w:bidi="fa-IR"/>
        </w:rPr>
        <w:t>Bax</w:t>
      </w:r>
      <w:proofErr w:type="spellEnd"/>
      <w:r w:rsidRPr="00D133C3">
        <w:rPr>
          <w:rFonts w:ascii="Times New Roman" w:hAnsi="Times New Roman" w:cs="Times New Roman"/>
          <w:bCs/>
          <w:color w:val="000000" w:themeColor="text1"/>
          <w:sz w:val="24"/>
          <w:szCs w:val="24"/>
          <w:lang w:bidi="fa-IR"/>
        </w:rPr>
        <w:t xml:space="preserve"> ratio promotes mitochondrial apoptosis.</w:t>
      </w:r>
    </w:p>
    <w:p w14:paraId="35FB8923" w14:textId="5A80E554" w:rsidR="003D6A13" w:rsidRPr="00D133C3" w:rsidRDefault="003D6A13" w:rsidP="00864B83">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 xml:space="preserve">The pro-apoptotic signaling culminated in the activation of caspase-9. CASP9 protein levels were significantly elevated in groups containing </w:t>
      </w:r>
      <w:proofErr w:type="spellStart"/>
      <w:r w:rsidRPr="00D133C3">
        <w:rPr>
          <w:rFonts w:ascii="Times New Roman" w:hAnsi="Times New Roman" w:cs="Times New Roman"/>
          <w:bCs/>
          <w:color w:val="000000" w:themeColor="text1"/>
          <w:sz w:val="24"/>
          <w:szCs w:val="24"/>
          <w:lang w:bidi="fa-IR"/>
        </w:rPr>
        <w:t>tropolone</w:t>
      </w:r>
      <w:proofErr w:type="spellEnd"/>
      <w:r w:rsidRPr="00D133C3">
        <w:rPr>
          <w:rFonts w:ascii="Times New Roman" w:hAnsi="Times New Roman" w:cs="Times New Roman"/>
          <w:bCs/>
          <w:color w:val="000000" w:themeColor="text1"/>
          <w:sz w:val="24"/>
          <w:szCs w:val="24"/>
          <w:lang w:bidi="fa-IR"/>
        </w:rPr>
        <w:t>, with the maximum level observed under combination therapy (3.10 ± 0.67 ng/mg vs. 1.18 ± 0.54 ng/mg in control; p&lt;0.0</w:t>
      </w:r>
      <w:r w:rsidR="00DB1938" w:rsidRPr="00D133C3">
        <w:rPr>
          <w:rFonts w:ascii="Times New Roman" w:hAnsi="Times New Roman" w:cs="Times New Roman"/>
          <w:bCs/>
          <w:color w:val="000000" w:themeColor="text1"/>
          <w:sz w:val="24"/>
          <w:szCs w:val="24"/>
          <w:lang w:bidi="fa-IR"/>
        </w:rPr>
        <w:t>083</w:t>
      </w:r>
      <w:r w:rsidRPr="00D133C3">
        <w:rPr>
          <w:rFonts w:ascii="Times New Roman" w:hAnsi="Times New Roman" w:cs="Times New Roman"/>
          <w:bCs/>
          <w:color w:val="000000" w:themeColor="text1"/>
          <w:sz w:val="24"/>
          <w:szCs w:val="24"/>
          <w:lang w:bidi="fa-IR"/>
        </w:rPr>
        <w:t xml:space="preserve">). This increase was significantly greater than that achieved with either monotherapy. At the mRNA level, a significant upregulation of </w:t>
      </w:r>
      <w:r w:rsidRPr="00D133C3">
        <w:rPr>
          <w:rFonts w:ascii="Times New Roman" w:hAnsi="Times New Roman" w:cs="Times New Roman"/>
          <w:bCs/>
          <w:i/>
          <w:color w:val="000000" w:themeColor="text1"/>
          <w:sz w:val="24"/>
          <w:szCs w:val="24"/>
          <w:lang w:bidi="fa-IR"/>
        </w:rPr>
        <w:t>CASP9</w:t>
      </w:r>
      <w:r w:rsidRPr="00D133C3">
        <w:rPr>
          <w:rFonts w:ascii="Times New Roman" w:hAnsi="Times New Roman" w:cs="Times New Roman"/>
          <w:bCs/>
          <w:color w:val="000000" w:themeColor="text1"/>
          <w:sz w:val="24"/>
          <w:szCs w:val="24"/>
          <w:lang w:bidi="fa-IR"/>
        </w:rPr>
        <w:t xml:space="preserve"> was only detected in the combination group (0.27 ± 0.23), suggesting that post-translational mechanisms may also contribute to CASP9 protein accumulation.</w:t>
      </w:r>
    </w:p>
    <w:p w14:paraId="3F5D03DE" w14:textId="56818D9C" w:rsidR="00864B83" w:rsidRPr="00D133C3" w:rsidRDefault="003D6A13" w:rsidP="00864B83">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 xml:space="preserve">In summary, the data demonstrate that combination therapy synergistically modulates the p53/MDM2 axis, shifting the balance towards pro-apoptotic signaling through transcriptional and post-translational regulation of key effectors like </w:t>
      </w:r>
      <w:proofErr w:type="spellStart"/>
      <w:r w:rsidRPr="00D133C3">
        <w:rPr>
          <w:rFonts w:ascii="Times New Roman" w:hAnsi="Times New Roman" w:cs="Times New Roman"/>
          <w:bCs/>
          <w:color w:val="000000" w:themeColor="text1"/>
          <w:sz w:val="24"/>
          <w:szCs w:val="24"/>
          <w:lang w:bidi="fa-IR"/>
        </w:rPr>
        <w:t>Bax</w:t>
      </w:r>
      <w:proofErr w:type="spellEnd"/>
      <w:r w:rsidRPr="00D133C3">
        <w:rPr>
          <w:rFonts w:ascii="Times New Roman" w:hAnsi="Times New Roman" w:cs="Times New Roman"/>
          <w:bCs/>
          <w:color w:val="000000" w:themeColor="text1"/>
          <w:sz w:val="24"/>
          <w:szCs w:val="24"/>
          <w:lang w:bidi="fa-IR"/>
        </w:rPr>
        <w:t>, Bcl</w:t>
      </w:r>
      <w:r w:rsidR="007352C3" w:rsidRPr="00D133C3">
        <w:rPr>
          <w:rFonts w:ascii="Times New Roman" w:hAnsi="Times New Roman" w:cs="Times New Roman"/>
          <w:bCs/>
          <w:color w:val="000000" w:themeColor="text1"/>
          <w:sz w:val="24"/>
          <w:szCs w:val="24"/>
          <w:lang w:bidi="fa-IR"/>
        </w:rPr>
        <w:t>-</w:t>
      </w:r>
      <w:r w:rsidRPr="00D133C3">
        <w:rPr>
          <w:rFonts w:ascii="Times New Roman" w:hAnsi="Times New Roman" w:cs="Times New Roman"/>
          <w:bCs/>
          <w:color w:val="000000" w:themeColor="text1"/>
          <w:sz w:val="24"/>
          <w:szCs w:val="24"/>
          <w:lang w:bidi="fa-IR"/>
        </w:rPr>
        <w:t xml:space="preserve">2, and Caspase-9. </w:t>
      </w:r>
      <w:proofErr w:type="spellStart"/>
      <w:r w:rsidRPr="00D133C3">
        <w:rPr>
          <w:rFonts w:ascii="Times New Roman" w:hAnsi="Times New Roman" w:cs="Times New Roman"/>
          <w:bCs/>
          <w:color w:val="000000" w:themeColor="text1"/>
          <w:sz w:val="24"/>
          <w:szCs w:val="24"/>
          <w:lang w:bidi="fa-IR"/>
        </w:rPr>
        <w:t>Tropolone</w:t>
      </w:r>
      <w:proofErr w:type="spellEnd"/>
      <w:r w:rsidRPr="00D133C3">
        <w:rPr>
          <w:rFonts w:ascii="Times New Roman" w:hAnsi="Times New Roman" w:cs="Times New Roman"/>
          <w:bCs/>
          <w:color w:val="000000" w:themeColor="text1"/>
          <w:sz w:val="24"/>
          <w:szCs w:val="24"/>
          <w:lang w:bidi="fa-IR"/>
        </w:rPr>
        <w:t xml:space="preserve"> JO-122(2) alone exhibits a strong propensity to activate this pathway, which is potently enhanced when combined with TMZ.</w:t>
      </w:r>
    </w:p>
    <w:p w14:paraId="72063DF8" w14:textId="77777777" w:rsidR="003D6A13" w:rsidRPr="00D133C3" w:rsidRDefault="003D6A13" w:rsidP="00864B83">
      <w:pPr>
        <w:widowControl w:val="0"/>
        <w:spacing w:after="0" w:line="240" w:lineRule="auto"/>
        <w:jc w:val="both"/>
        <w:rPr>
          <w:rFonts w:ascii="Times New Roman" w:hAnsi="Times New Roman" w:cs="Times New Roman"/>
          <w:b/>
          <w:bCs/>
          <w:color w:val="000000" w:themeColor="text1"/>
          <w:sz w:val="24"/>
          <w:szCs w:val="24"/>
          <w:lang w:bidi="fa-IR"/>
        </w:rPr>
      </w:pPr>
    </w:p>
    <w:p w14:paraId="07C6424A" w14:textId="2D8FCCDC" w:rsidR="00DE1F50" w:rsidRPr="00D133C3" w:rsidRDefault="00DE1F50" w:rsidP="00DE1F50">
      <w:pPr>
        <w:widowControl w:val="0"/>
        <w:spacing w:after="0" w:line="240" w:lineRule="auto"/>
        <w:jc w:val="center"/>
        <w:rPr>
          <w:rFonts w:ascii="Times New Roman" w:hAnsi="Times New Roman" w:cs="Times New Roman"/>
          <w:b/>
          <w:bCs/>
          <w:color w:val="000000" w:themeColor="text1"/>
          <w:sz w:val="24"/>
          <w:szCs w:val="24"/>
          <w:lang w:bidi="fa-IR"/>
        </w:rPr>
      </w:pPr>
      <w:r w:rsidRPr="00D133C3">
        <w:rPr>
          <w:rFonts w:ascii="Times New Roman" w:hAnsi="Times New Roman" w:cs="Times New Roman"/>
          <w:b/>
          <w:bCs/>
          <w:color w:val="000000" w:themeColor="text1"/>
          <w:sz w:val="24"/>
          <w:szCs w:val="24"/>
          <w:lang w:bidi="fa-IR"/>
        </w:rPr>
        <w:t>DISCUSSION</w:t>
      </w:r>
    </w:p>
    <w:p w14:paraId="18CCD3B2" w14:textId="65FD8FF9" w:rsidR="00973A4B" w:rsidRPr="00D133C3" w:rsidRDefault="00973A4B" w:rsidP="00973A4B">
      <w:pPr>
        <w:widowControl w:val="0"/>
        <w:spacing w:after="0" w:line="240" w:lineRule="auto"/>
        <w:jc w:val="both"/>
        <w:rPr>
          <w:rFonts w:ascii="Times New Roman" w:hAnsi="Times New Roman" w:cs="Times New Roman"/>
          <w:bCs/>
          <w:color w:val="000000" w:themeColor="text1"/>
          <w:sz w:val="24"/>
          <w:szCs w:val="24"/>
          <w:lang w:bidi="fa-IR"/>
        </w:rPr>
      </w:pPr>
      <w:proofErr w:type="spellStart"/>
      <w:r w:rsidRPr="00D133C3">
        <w:rPr>
          <w:rFonts w:ascii="Times New Roman" w:hAnsi="Times New Roman" w:cs="Times New Roman"/>
          <w:bCs/>
          <w:color w:val="000000" w:themeColor="text1"/>
          <w:sz w:val="24"/>
          <w:szCs w:val="24"/>
          <w:lang w:bidi="fa-IR"/>
        </w:rPr>
        <w:t>Tropolone</w:t>
      </w:r>
      <w:proofErr w:type="spellEnd"/>
      <w:r w:rsidRPr="00D133C3">
        <w:rPr>
          <w:rFonts w:ascii="Times New Roman" w:hAnsi="Times New Roman" w:cs="Times New Roman"/>
          <w:bCs/>
          <w:color w:val="000000" w:themeColor="text1"/>
          <w:sz w:val="24"/>
          <w:szCs w:val="24"/>
          <w:lang w:bidi="fa-IR"/>
        </w:rPr>
        <w:t xml:space="preserve"> derivatives have demonstrated potent cytotoxic activity in various cancer cell lines, including AGS gastric adenocarcinoma, primary glioma cultures, SW620 colorectal cancer, and A431 epidermoid carcinoma cells </w:t>
      </w:r>
      <w:r w:rsidR="00455FD6" w:rsidRPr="00D133C3">
        <w:rPr>
          <w:rFonts w:ascii="Times New Roman" w:hAnsi="Times New Roman" w:cs="Times New Roman"/>
          <w:bCs/>
          <w:color w:val="000000" w:themeColor="text1"/>
          <w:sz w:val="24"/>
          <w:szCs w:val="24"/>
          <w:lang w:bidi="fa-IR"/>
        </w:rPr>
        <w:t>[16–19</w:t>
      </w:r>
      <w:r w:rsidRPr="00D133C3">
        <w:rPr>
          <w:rFonts w:ascii="Times New Roman" w:hAnsi="Times New Roman" w:cs="Times New Roman"/>
          <w:bCs/>
          <w:color w:val="000000" w:themeColor="text1"/>
          <w:sz w:val="24"/>
          <w:szCs w:val="24"/>
          <w:lang w:bidi="fa-IR"/>
        </w:rPr>
        <w:t xml:space="preserve">], indicating their potential to modulate fundamental oncogenic pathways. In this study, the synthetic </w:t>
      </w:r>
      <w:proofErr w:type="spellStart"/>
      <w:r w:rsidRPr="00D133C3">
        <w:rPr>
          <w:rFonts w:ascii="Times New Roman" w:hAnsi="Times New Roman" w:cs="Times New Roman"/>
          <w:bCs/>
          <w:color w:val="000000" w:themeColor="text1"/>
          <w:sz w:val="24"/>
          <w:szCs w:val="24"/>
          <w:lang w:bidi="fa-IR"/>
        </w:rPr>
        <w:t>tropolone</w:t>
      </w:r>
      <w:proofErr w:type="spellEnd"/>
      <w:r w:rsidRPr="00D133C3">
        <w:rPr>
          <w:rFonts w:ascii="Times New Roman" w:hAnsi="Times New Roman" w:cs="Times New Roman"/>
          <w:bCs/>
          <w:color w:val="000000" w:themeColor="text1"/>
          <w:sz w:val="24"/>
          <w:szCs w:val="24"/>
          <w:lang w:bidi="fa-IR"/>
        </w:rPr>
        <w:t xml:space="preserve"> derivative JO-122(2) demonstrated significant antitumor efficacy in a U87MG glioblastoma xenograft model, particularly when combined with </w:t>
      </w:r>
      <w:proofErr w:type="spellStart"/>
      <w:r w:rsidRPr="00D133C3">
        <w:rPr>
          <w:rFonts w:ascii="Times New Roman" w:hAnsi="Times New Roman" w:cs="Times New Roman"/>
          <w:bCs/>
          <w:color w:val="000000" w:themeColor="text1"/>
          <w:sz w:val="24"/>
          <w:szCs w:val="24"/>
          <w:lang w:bidi="fa-IR"/>
        </w:rPr>
        <w:t>temozolomide</w:t>
      </w:r>
      <w:proofErr w:type="spellEnd"/>
      <w:r w:rsidRPr="00D133C3">
        <w:rPr>
          <w:rFonts w:ascii="Times New Roman" w:hAnsi="Times New Roman" w:cs="Times New Roman"/>
          <w:bCs/>
          <w:color w:val="000000" w:themeColor="text1"/>
          <w:sz w:val="24"/>
          <w:szCs w:val="24"/>
          <w:lang w:bidi="fa-IR"/>
        </w:rPr>
        <w:t>, highlighting its promise as a combination therapeutic agent for glioblastoma.</w:t>
      </w:r>
    </w:p>
    <w:p w14:paraId="337A5986" w14:textId="3858ED29" w:rsidR="00973A4B" w:rsidRPr="00D133C3" w:rsidRDefault="00973A4B" w:rsidP="00973A4B">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 xml:space="preserve">The observed efficacy of JO-122(2) is likely mediated through modulation of the p53-MDM2 axis. Its </w:t>
      </w:r>
      <w:proofErr w:type="spellStart"/>
      <w:r w:rsidRPr="00D133C3">
        <w:rPr>
          <w:rFonts w:ascii="Times New Roman" w:hAnsi="Times New Roman" w:cs="Times New Roman"/>
          <w:bCs/>
          <w:color w:val="000000" w:themeColor="text1"/>
          <w:sz w:val="24"/>
          <w:szCs w:val="24"/>
          <w:lang w:bidi="fa-IR"/>
        </w:rPr>
        <w:t>hydroxyketone</w:t>
      </w:r>
      <w:proofErr w:type="spellEnd"/>
      <w:r w:rsidRPr="00D133C3">
        <w:rPr>
          <w:rFonts w:ascii="Times New Roman" w:hAnsi="Times New Roman" w:cs="Times New Roman"/>
          <w:bCs/>
          <w:color w:val="000000" w:themeColor="text1"/>
          <w:sz w:val="24"/>
          <w:szCs w:val="24"/>
          <w:lang w:bidi="fa-IR"/>
        </w:rPr>
        <w:t xml:space="preserve"> structure confers metal-chelating properties, which may inhibit </w:t>
      </w:r>
      <w:proofErr w:type="spellStart"/>
      <w:r w:rsidRPr="00D133C3">
        <w:rPr>
          <w:rFonts w:ascii="Times New Roman" w:hAnsi="Times New Roman" w:cs="Times New Roman"/>
          <w:bCs/>
          <w:color w:val="000000" w:themeColor="text1"/>
          <w:sz w:val="24"/>
          <w:szCs w:val="24"/>
          <w:lang w:bidi="fa-IR"/>
        </w:rPr>
        <w:t>metalloenzymes</w:t>
      </w:r>
      <w:proofErr w:type="spellEnd"/>
      <w:r w:rsidRPr="00D133C3">
        <w:rPr>
          <w:rFonts w:ascii="Times New Roman" w:hAnsi="Times New Roman" w:cs="Times New Roman"/>
          <w:bCs/>
          <w:color w:val="000000" w:themeColor="text1"/>
          <w:sz w:val="24"/>
          <w:szCs w:val="24"/>
          <w:lang w:bidi="fa-IR"/>
        </w:rPr>
        <w:t xml:space="preserve"> such as histone deacetylases (HDACs) or disrupt zinc-dependent domains in proteins like MDM2. Inhibition of HDACs can promote p53 acetylation and stabilization, as well as suppress </w:t>
      </w:r>
      <w:r w:rsidRPr="00D133C3">
        <w:rPr>
          <w:rFonts w:ascii="Times New Roman" w:hAnsi="Times New Roman" w:cs="Times New Roman"/>
          <w:bCs/>
          <w:i/>
          <w:color w:val="000000" w:themeColor="text1"/>
          <w:sz w:val="24"/>
          <w:szCs w:val="24"/>
          <w:lang w:bidi="fa-IR"/>
        </w:rPr>
        <w:t>MDM2</w:t>
      </w:r>
      <w:r w:rsidRPr="00D133C3">
        <w:rPr>
          <w:rFonts w:ascii="Times New Roman" w:hAnsi="Times New Roman" w:cs="Times New Roman"/>
          <w:bCs/>
          <w:color w:val="000000" w:themeColor="text1"/>
          <w:sz w:val="24"/>
          <w:szCs w:val="24"/>
          <w:lang w:bidi="fa-IR"/>
        </w:rPr>
        <w:t xml:space="preserve"> expression, while direct interference by JO-122(2) with the RING domain of MDM2 could impair its E3 ubiquitin ligase activity, thereby preventing p53 degradation [</w:t>
      </w:r>
      <w:r w:rsidR="00455FD6" w:rsidRPr="00D133C3">
        <w:rPr>
          <w:rFonts w:ascii="Times New Roman" w:hAnsi="Times New Roman" w:cs="Times New Roman"/>
          <w:bCs/>
          <w:color w:val="000000" w:themeColor="text1"/>
          <w:sz w:val="24"/>
          <w:szCs w:val="24"/>
          <w:lang w:bidi="fa-IR"/>
        </w:rPr>
        <w:t>20–</w:t>
      </w:r>
      <w:r w:rsidR="005E746C" w:rsidRPr="00D133C3">
        <w:rPr>
          <w:rFonts w:ascii="Times New Roman" w:hAnsi="Times New Roman" w:cs="Times New Roman"/>
          <w:bCs/>
          <w:color w:val="000000" w:themeColor="text1"/>
          <w:sz w:val="24"/>
          <w:szCs w:val="24"/>
          <w:lang w:bidi="fa-IR"/>
        </w:rPr>
        <w:t>2</w:t>
      </w:r>
      <w:r w:rsidR="00455FD6" w:rsidRPr="00D133C3">
        <w:rPr>
          <w:rFonts w:ascii="Times New Roman" w:hAnsi="Times New Roman" w:cs="Times New Roman"/>
          <w:bCs/>
          <w:color w:val="000000" w:themeColor="text1"/>
          <w:sz w:val="24"/>
          <w:szCs w:val="24"/>
          <w:lang w:bidi="fa-IR"/>
        </w:rPr>
        <w:t>3</w:t>
      </w:r>
      <w:r w:rsidRPr="00D133C3">
        <w:rPr>
          <w:rFonts w:ascii="Times New Roman" w:hAnsi="Times New Roman" w:cs="Times New Roman"/>
          <w:bCs/>
          <w:color w:val="000000" w:themeColor="text1"/>
          <w:sz w:val="24"/>
          <w:szCs w:val="24"/>
          <w:lang w:bidi="fa-IR"/>
        </w:rPr>
        <w:t xml:space="preserve">]. This mechanism aligns with our findings of elevated p53 protein levels despite only moderate transcriptional upregulation of </w:t>
      </w:r>
      <w:r w:rsidRPr="00D133C3">
        <w:rPr>
          <w:rFonts w:ascii="Times New Roman" w:hAnsi="Times New Roman" w:cs="Times New Roman"/>
          <w:bCs/>
          <w:i/>
          <w:color w:val="000000" w:themeColor="text1"/>
          <w:sz w:val="24"/>
          <w:szCs w:val="24"/>
          <w:lang w:bidi="fa-IR"/>
        </w:rPr>
        <w:t>TP53</w:t>
      </w:r>
      <w:r w:rsidRPr="00D133C3">
        <w:rPr>
          <w:rFonts w:ascii="Times New Roman" w:hAnsi="Times New Roman" w:cs="Times New Roman"/>
          <w:bCs/>
          <w:color w:val="000000" w:themeColor="text1"/>
          <w:sz w:val="24"/>
          <w:szCs w:val="24"/>
          <w:lang w:bidi="fa-IR"/>
        </w:rPr>
        <w:t>, highlighting the dominance of post-translational regulation in the combination group [2</w:t>
      </w:r>
      <w:r w:rsidR="00455FD6" w:rsidRPr="00D133C3">
        <w:rPr>
          <w:rFonts w:ascii="Times New Roman" w:hAnsi="Times New Roman" w:cs="Times New Roman"/>
          <w:bCs/>
          <w:color w:val="000000" w:themeColor="text1"/>
          <w:sz w:val="24"/>
          <w:szCs w:val="24"/>
          <w:lang w:bidi="fa-IR"/>
        </w:rPr>
        <w:t>4</w:t>
      </w:r>
      <w:r w:rsidRPr="00D133C3">
        <w:rPr>
          <w:rFonts w:ascii="Times New Roman" w:hAnsi="Times New Roman" w:cs="Times New Roman"/>
          <w:bCs/>
          <w:color w:val="000000" w:themeColor="text1"/>
          <w:sz w:val="24"/>
          <w:szCs w:val="24"/>
          <w:lang w:bidi="fa-IR"/>
        </w:rPr>
        <w:t xml:space="preserve">, </w:t>
      </w:r>
      <w:r w:rsidR="00455FD6" w:rsidRPr="00D133C3">
        <w:rPr>
          <w:rFonts w:ascii="Times New Roman" w:hAnsi="Times New Roman" w:cs="Times New Roman"/>
          <w:bCs/>
          <w:color w:val="000000" w:themeColor="text1"/>
          <w:sz w:val="24"/>
          <w:szCs w:val="24"/>
          <w:lang w:bidi="fa-IR"/>
        </w:rPr>
        <w:t>25</w:t>
      </w:r>
      <w:r w:rsidRPr="00D133C3">
        <w:rPr>
          <w:rFonts w:ascii="Times New Roman" w:hAnsi="Times New Roman" w:cs="Times New Roman"/>
          <w:bCs/>
          <w:color w:val="000000" w:themeColor="text1"/>
          <w:sz w:val="24"/>
          <w:szCs w:val="24"/>
          <w:lang w:bidi="fa-IR"/>
        </w:rPr>
        <w:t>].</w:t>
      </w:r>
    </w:p>
    <w:p w14:paraId="3614FCBA" w14:textId="62F110A8" w:rsidR="00973A4B" w:rsidRPr="00D133C3" w:rsidRDefault="00973A4B" w:rsidP="00973A4B">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 xml:space="preserve">Furthermore, both mRNA and protein levels of MDM2 were significantly reduced, especially with combination therapy, disrupting the negative feedback loop and promoting sustained p53 activation. This effect may be partially mediated by microRNAs, particularly miR-29a, which binds to the 3′-UTR of </w:t>
      </w:r>
      <w:r w:rsidRPr="00D133C3">
        <w:rPr>
          <w:rFonts w:ascii="Times New Roman" w:hAnsi="Times New Roman" w:cs="Times New Roman"/>
          <w:bCs/>
          <w:i/>
          <w:color w:val="000000" w:themeColor="text1"/>
          <w:sz w:val="24"/>
          <w:szCs w:val="24"/>
          <w:lang w:bidi="fa-IR"/>
        </w:rPr>
        <w:t>MDM2</w:t>
      </w:r>
      <w:r w:rsidRPr="00D133C3">
        <w:rPr>
          <w:rFonts w:ascii="Times New Roman" w:hAnsi="Times New Roman" w:cs="Times New Roman"/>
          <w:bCs/>
          <w:color w:val="000000" w:themeColor="text1"/>
          <w:sz w:val="24"/>
          <w:szCs w:val="24"/>
          <w:lang w:bidi="fa-IR"/>
        </w:rPr>
        <w:t xml:space="preserve"> mRNA, suppressing its translation and facilitating degradation [</w:t>
      </w:r>
      <w:r w:rsidR="00455FD6" w:rsidRPr="00D133C3">
        <w:rPr>
          <w:rFonts w:ascii="Times New Roman" w:hAnsi="Times New Roman" w:cs="Times New Roman"/>
          <w:bCs/>
          <w:color w:val="000000" w:themeColor="text1"/>
          <w:sz w:val="24"/>
          <w:szCs w:val="24"/>
          <w:lang w:bidi="fa-IR"/>
        </w:rPr>
        <w:t>20</w:t>
      </w:r>
      <w:r w:rsidRPr="00D133C3">
        <w:rPr>
          <w:rFonts w:ascii="Times New Roman" w:hAnsi="Times New Roman" w:cs="Times New Roman"/>
          <w:bCs/>
          <w:color w:val="000000" w:themeColor="text1"/>
          <w:sz w:val="24"/>
          <w:szCs w:val="24"/>
          <w:lang w:bidi="fa-IR"/>
        </w:rPr>
        <w:t xml:space="preserve">, </w:t>
      </w:r>
      <w:r w:rsidR="00455FD6" w:rsidRPr="00D133C3">
        <w:rPr>
          <w:rFonts w:ascii="Times New Roman" w:hAnsi="Times New Roman" w:cs="Times New Roman"/>
          <w:bCs/>
          <w:color w:val="000000" w:themeColor="text1"/>
          <w:sz w:val="24"/>
          <w:szCs w:val="24"/>
          <w:lang w:bidi="fa-IR"/>
        </w:rPr>
        <w:t>23</w:t>
      </w:r>
      <w:r w:rsidRPr="00D133C3">
        <w:rPr>
          <w:rFonts w:ascii="Times New Roman" w:hAnsi="Times New Roman" w:cs="Times New Roman"/>
          <w:bCs/>
          <w:color w:val="000000" w:themeColor="text1"/>
          <w:sz w:val="24"/>
          <w:szCs w:val="24"/>
          <w:lang w:bidi="fa-IR"/>
        </w:rPr>
        <w:t xml:space="preserve">, </w:t>
      </w:r>
      <w:r w:rsidR="00455FD6" w:rsidRPr="00D133C3">
        <w:rPr>
          <w:rFonts w:ascii="Times New Roman" w:hAnsi="Times New Roman" w:cs="Times New Roman"/>
          <w:bCs/>
          <w:color w:val="000000" w:themeColor="text1"/>
          <w:sz w:val="24"/>
          <w:szCs w:val="24"/>
          <w:lang w:bidi="fa-IR"/>
        </w:rPr>
        <w:t>25</w:t>
      </w:r>
      <w:r w:rsidRPr="00D133C3">
        <w:rPr>
          <w:rFonts w:ascii="Times New Roman" w:hAnsi="Times New Roman" w:cs="Times New Roman"/>
          <w:bCs/>
          <w:color w:val="000000" w:themeColor="text1"/>
          <w:sz w:val="24"/>
          <w:szCs w:val="24"/>
          <w:lang w:bidi="fa-IR"/>
        </w:rPr>
        <w:t xml:space="preserve">, </w:t>
      </w:r>
      <w:r w:rsidR="00455FD6" w:rsidRPr="00D133C3">
        <w:rPr>
          <w:rFonts w:ascii="Times New Roman" w:hAnsi="Times New Roman" w:cs="Times New Roman"/>
          <w:bCs/>
          <w:color w:val="000000" w:themeColor="text1"/>
          <w:sz w:val="24"/>
          <w:szCs w:val="24"/>
          <w:lang w:bidi="fa-IR"/>
        </w:rPr>
        <w:t>26</w:t>
      </w:r>
      <w:r w:rsidRPr="00D133C3">
        <w:rPr>
          <w:rFonts w:ascii="Times New Roman" w:hAnsi="Times New Roman" w:cs="Times New Roman"/>
          <w:bCs/>
          <w:color w:val="000000" w:themeColor="text1"/>
          <w:sz w:val="24"/>
          <w:szCs w:val="24"/>
          <w:lang w:bidi="fa-IR"/>
        </w:rPr>
        <w:t>].</w:t>
      </w:r>
    </w:p>
    <w:p w14:paraId="34A3E46E" w14:textId="0765BA99" w:rsidR="00973A4B" w:rsidRPr="00D133C3" w:rsidRDefault="00973A4B" w:rsidP="00973A4B">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 xml:space="preserve">Downstream of p53 activation, we observed increased </w:t>
      </w:r>
      <w:r w:rsidRPr="00D133C3">
        <w:rPr>
          <w:rFonts w:ascii="Times New Roman" w:hAnsi="Times New Roman" w:cs="Times New Roman"/>
          <w:bCs/>
          <w:i/>
          <w:color w:val="000000" w:themeColor="text1"/>
          <w:sz w:val="24"/>
          <w:szCs w:val="24"/>
          <w:lang w:bidi="fa-IR"/>
        </w:rPr>
        <w:t>BAX</w:t>
      </w:r>
      <w:r w:rsidRPr="00D133C3">
        <w:rPr>
          <w:rFonts w:ascii="Times New Roman" w:hAnsi="Times New Roman" w:cs="Times New Roman"/>
          <w:bCs/>
          <w:color w:val="000000" w:themeColor="text1"/>
          <w:sz w:val="24"/>
          <w:szCs w:val="24"/>
          <w:lang w:bidi="fa-IR"/>
        </w:rPr>
        <w:t xml:space="preserve"> expression and decreased </w:t>
      </w:r>
      <w:r w:rsidRPr="00D133C3">
        <w:rPr>
          <w:rFonts w:ascii="Times New Roman" w:hAnsi="Times New Roman" w:cs="Times New Roman"/>
          <w:bCs/>
          <w:i/>
          <w:color w:val="000000" w:themeColor="text1"/>
          <w:sz w:val="24"/>
          <w:szCs w:val="24"/>
          <w:lang w:bidi="fa-IR"/>
        </w:rPr>
        <w:t>BCL2</w:t>
      </w:r>
      <w:r w:rsidRPr="00D133C3">
        <w:rPr>
          <w:rFonts w:ascii="Times New Roman" w:hAnsi="Times New Roman" w:cs="Times New Roman"/>
          <w:bCs/>
          <w:color w:val="000000" w:themeColor="text1"/>
          <w:sz w:val="24"/>
          <w:szCs w:val="24"/>
          <w:lang w:bidi="fa-IR"/>
        </w:rPr>
        <w:t>, leading to a favorable shift in the Bcl-2/</w:t>
      </w:r>
      <w:proofErr w:type="spellStart"/>
      <w:r w:rsidRPr="00D133C3">
        <w:rPr>
          <w:rFonts w:ascii="Times New Roman" w:hAnsi="Times New Roman" w:cs="Times New Roman"/>
          <w:bCs/>
          <w:color w:val="000000" w:themeColor="text1"/>
          <w:sz w:val="24"/>
          <w:szCs w:val="24"/>
          <w:lang w:bidi="fa-IR"/>
        </w:rPr>
        <w:t>Bax</w:t>
      </w:r>
      <w:proofErr w:type="spellEnd"/>
      <w:r w:rsidRPr="00D133C3">
        <w:rPr>
          <w:rFonts w:ascii="Times New Roman" w:hAnsi="Times New Roman" w:cs="Times New Roman"/>
          <w:bCs/>
          <w:color w:val="000000" w:themeColor="text1"/>
          <w:sz w:val="24"/>
          <w:szCs w:val="24"/>
          <w:lang w:bidi="fa-IR"/>
        </w:rPr>
        <w:t xml:space="preserve"> ratio and activation of caspase-9. These changes indicate robust induction of mitochondrial apoptosis. Notably, caspase-9 activation occurred without significant upregulation of </w:t>
      </w:r>
      <w:r w:rsidRPr="00D133C3">
        <w:rPr>
          <w:rFonts w:ascii="Times New Roman" w:hAnsi="Times New Roman" w:cs="Times New Roman"/>
          <w:bCs/>
          <w:i/>
          <w:color w:val="000000" w:themeColor="text1"/>
          <w:sz w:val="24"/>
          <w:szCs w:val="24"/>
          <w:lang w:bidi="fa-IR"/>
        </w:rPr>
        <w:t>CASP9</w:t>
      </w:r>
      <w:r w:rsidRPr="00D133C3">
        <w:rPr>
          <w:rFonts w:ascii="Times New Roman" w:hAnsi="Times New Roman" w:cs="Times New Roman"/>
          <w:bCs/>
          <w:color w:val="000000" w:themeColor="text1"/>
          <w:sz w:val="24"/>
          <w:szCs w:val="24"/>
          <w:lang w:bidi="fa-IR"/>
        </w:rPr>
        <w:t xml:space="preserve"> mRNA, consistent with its canonical post-translational activation within the </w:t>
      </w:r>
      <w:proofErr w:type="spellStart"/>
      <w:r w:rsidRPr="00D133C3">
        <w:rPr>
          <w:rFonts w:ascii="Times New Roman" w:hAnsi="Times New Roman" w:cs="Times New Roman"/>
          <w:bCs/>
          <w:color w:val="000000" w:themeColor="text1"/>
          <w:sz w:val="24"/>
          <w:szCs w:val="24"/>
          <w:lang w:bidi="fa-IR"/>
        </w:rPr>
        <w:t>apoptosome</w:t>
      </w:r>
      <w:proofErr w:type="spellEnd"/>
      <w:r w:rsidRPr="00D133C3">
        <w:rPr>
          <w:rFonts w:ascii="Times New Roman" w:hAnsi="Times New Roman" w:cs="Times New Roman"/>
          <w:bCs/>
          <w:color w:val="000000" w:themeColor="text1"/>
          <w:sz w:val="24"/>
          <w:szCs w:val="24"/>
          <w:lang w:bidi="fa-IR"/>
        </w:rPr>
        <w:t xml:space="preserve"> [2</w:t>
      </w:r>
      <w:r w:rsidR="00D133C3" w:rsidRPr="00D133C3">
        <w:rPr>
          <w:rFonts w:ascii="Times New Roman" w:hAnsi="Times New Roman" w:cs="Times New Roman"/>
          <w:bCs/>
          <w:color w:val="000000" w:themeColor="text1"/>
          <w:sz w:val="24"/>
          <w:szCs w:val="24"/>
          <w:lang w:bidi="fa-IR"/>
        </w:rPr>
        <w:t>5</w:t>
      </w:r>
      <w:r w:rsidRPr="00D133C3">
        <w:rPr>
          <w:rFonts w:ascii="Times New Roman" w:hAnsi="Times New Roman" w:cs="Times New Roman"/>
          <w:bCs/>
          <w:color w:val="000000" w:themeColor="text1"/>
          <w:sz w:val="24"/>
          <w:szCs w:val="24"/>
          <w:lang w:bidi="fa-IR"/>
        </w:rPr>
        <w:t xml:space="preserve">, </w:t>
      </w:r>
      <w:r w:rsidR="00D133C3" w:rsidRPr="00D133C3">
        <w:rPr>
          <w:rFonts w:ascii="Times New Roman" w:hAnsi="Times New Roman" w:cs="Times New Roman"/>
          <w:bCs/>
          <w:color w:val="000000" w:themeColor="text1"/>
          <w:sz w:val="24"/>
          <w:szCs w:val="24"/>
          <w:lang w:bidi="fa-IR"/>
        </w:rPr>
        <w:t>27–30</w:t>
      </w:r>
      <w:r w:rsidRPr="00D133C3">
        <w:rPr>
          <w:rFonts w:ascii="Times New Roman" w:hAnsi="Times New Roman" w:cs="Times New Roman"/>
          <w:bCs/>
          <w:color w:val="000000" w:themeColor="text1"/>
          <w:sz w:val="24"/>
          <w:szCs w:val="24"/>
          <w:lang w:bidi="fa-IR"/>
        </w:rPr>
        <w:t>].</w:t>
      </w:r>
    </w:p>
    <w:p w14:paraId="408ABA4B" w14:textId="382E7C43" w:rsidR="00973A4B" w:rsidRPr="00D133C3" w:rsidRDefault="00973A4B" w:rsidP="00973A4B">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While NF-</w:t>
      </w:r>
      <w:proofErr w:type="spellStart"/>
      <w:r w:rsidRPr="00D133C3">
        <w:rPr>
          <w:rFonts w:ascii="Times New Roman" w:hAnsi="Times New Roman" w:cs="Times New Roman"/>
          <w:bCs/>
          <w:color w:val="000000" w:themeColor="text1"/>
          <w:sz w:val="24"/>
          <w:szCs w:val="24"/>
          <w:lang w:bidi="fa-IR"/>
        </w:rPr>
        <w:t>κB</w:t>
      </w:r>
      <w:proofErr w:type="spellEnd"/>
      <w:r w:rsidRPr="00D133C3">
        <w:rPr>
          <w:rFonts w:ascii="Times New Roman" w:hAnsi="Times New Roman" w:cs="Times New Roman"/>
          <w:bCs/>
          <w:color w:val="000000" w:themeColor="text1"/>
          <w:sz w:val="24"/>
          <w:szCs w:val="24"/>
          <w:lang w:bidi="fa-IR"/>
        </w:rPr>
        <w:t xml:space="preserve"> inhibition by related </w:t>
      </w:r>
      <w:proofErr w:type="spellStart"/>
      <w:r w:rsidRPr="00D133C3">
        <w:rPr>
          <w:rFonts w:ascii="Times New Roman" w:hAnsi="Times New Roman" w:cs="Times New Roman"/>
          <w:bCs/>
          <w:color w:val="000000" w:themeColor="text1"/>
          <w:sz w:val="24"/>
          <w:szCs w:val="24"/>
          <w:lang w:bidi="fa-IR"/>
        </w:rPr>
        <w:t>tropolones</w:t>
      </w:r>
      <w:proofErr w:type="spellEnd"/>
      <w:r w:rsidRPr="00D133C3">
        <w:rPr>
          <w:rFonts w:ascii="Times New Roman" w:hAnsi="Times New Roman" w:cs="Times New Roman"/>
          <w:bCs/>
          <w:color w:val="000000" w:themeColor="text1"/>
          <w:sz w:val="24"/>
          <w:szCs w:val="24"/>
          <w:lang w:bidi="fa-IR"/>
        </w:rPr>
        <w:t xml:space="preserve"> (e.g., </w:t>
      </w:r>
      <w:proofErr w:type="spellStart"/>
      <w:r w:rsidRPr="00D133C3">
        <w:rPr>
          <w:rFonts w:ascii="Times New Roman" w:hAnsi="Times New Roman" w:cs="Times New Roman"/>
          <w:bCs/>
          <w:color w:val="000000" w:themeColor="text1"/>
          <w:sz w:val="24"/>
          <w:szCs w:val="24"/>
          <w:lang w:bidi="fa-IR"/>
        </w:rPr>
        <w:t>hinokitiol</w:t>
      </w:r>
      <w:proofErr w:type="spellEnd"/>
      <w:r w:rsidRPr="00D133C3">
        <w:rPr>
          <w:rFonts w:ascii="Times New Roman" w:hAnsi="Times New Roman" w:cs="Times New Roman"/>
          <w:bCs/>
          <w:color w:val="000000" w:themeColor="text1"/>
          <w:sz w:val="24"/>
          <w:szCs w:val="24"/>
          <w:lang w:bidi="fa-IR"/>
        </w:rPr>
        <w:t>) may further support pro-apoptotic signaling [</w:t>
      </w:r>
      <w:r w:rsidR="00D133C3" w:rsidRPr="00D133C3">
        <w:rPr>
          <w:rFonts w:ascii="Times New Roman" w:hAnsi="Times New Roman" w:cs="Times New Roman"/>
          <w:bCs/>
          <w:color w:val="000000" w:themeColor="text1"/>
          <w:sz w:val="24"/>
          <w:szCs w:val="24"/>
          <w:lang w:bidi="fa-IR"/>
        </w:rPr>
        <w:t>31</w:t>
      </w:r>
      <w:r w:rsidRPr="00D133C3">
        <w:rPr>
          <w:rFonts w:ascii="Times New Roman" w:hAnsi="Times New Roman" w:cs="Times New Roman"/>
          <w:bCs/>
          <w:color w:val="000000" w:themeColor="text1"/>
          <w:sz w:val="24"/>
          <w:szCs w:val="24"/>
          <w:lang w:bidi="fa-IR"/>
        </w:rPr>
        <w:t>,</w:t>
      </w:r>
      <w:r w:rsidR="00D133C3" w:rsidRPr="00D133C3">
        <w:rPr>
          <w:rFonts w:ascii="Times New Roman" w:hAnsi="Times New Roman" w:cs="Times New Roman"/>
          <w:bCs/>
          <w:color w:val="000000" w:themeColor="text1"/>
          <w:sz w:val="24"/>
          <w:szCs w:val="24"/>
          <w:lang w:bidi="fa-IR"/>
        </w:rPr>
        <w:t xml:space="preserve"> 32</w:t>
      </w:r>
      <w:r w:rsidRPr="00D133C3">
        <w:rPr>
          <w:rFonts w:ascii="Times New Roman" w:hAnsi="Times New Roman" w:cs="Times New Roman"/>
          <w:bCs/>
          <w:color w:val="000000" w:themeColor="text1"/>
          <w:sz w:val="24"/>
          <w:szCs w:val="24"/>
          <w:lang w:bidi="fa-IR"/>
        </w:rPr>
        <w:t xml:space="preserve">], this pathway was not assessed in the present study and requires future investigation. Similarly, although other agents such as colchicine and </w:t>
      </w:r>
      <w:proofErr w:type="spellStart"/>
      <w:r w:rsidRPr="00D133C3">
        <w:rPr>
          <w:rFonts w:ascii="Times New Roman" w:hAnsi="Times New Roman" w:cs="Times New Roman"/>
          <w:bCs/>
          <w:color w:val="000000" w:themeColor="text1"/>
          <w:sz w:val="24"/>
          <w:szCs w:val="24"/>
          <w:lang w:bidi="fa-IR"/>
        </w:rPr>
        <w:t>quinoline-tropolone</w:t>
      </w:r>
      <w:proofErr w:type="spellEnd"/>
      <w:r w:rsidRPr="00D133C3">
        <w:rPr>
          <w:rFonts w:ascii="Times New Roman" w:hAnsi="Times New Roman" w:cs="Times New Roman"/>
          <w:bCs/>
          <w:color w:val="000000" w:themeColor="text1"/>
          <w:sz w:val="24"/>
          <w:szCs w:val="24"/>
          <w:lang w:bidi="fa-IR"/>
        </w:rPr>
        <w:t xml:space="preserve"> hybrids have been shown to downregulate Bcl-2 [</w:t>
      </w:r>
      <w:r w:rsidR="00D133C3" w:rsidRPr="00D133C3">
        <w:rPr>
          <w:rFonts w:ascii="Times New Roman" w:hAnsi="Times New Roman" w:cs="Times New Roman"/>
          <w:bCs/>
          <w:color w:val="000000" w:themeColor="text1"/>
          <w:sz w:val="24"/>
          <w:szCs w:val="24"/>
          <w:lang w:bidi="fa-IR"/>
        </w:rPr>
        <w:t>30, 33, 34</w:t>
      </w:r>
      <w:r w:rsidRPr="00D133C3">
        <w:rPr>
          <w:rFonts w:ascii="Times New Roman" w:hAnsi="Times New Roman" w:cs="Times New Roman"/>
          <w:bCs/>
          <w:color w:val="000000" w:themeColor="text1"/>
          <w:sz w:val="24"/>
          <w:szCs w:val="24"/>
          <w:lang w:bidi="fa-IR"/>
        </w:rPr>
        <w:t>], our data emphasize that JO-122(2) enhances intrinsic apoptosis primarily through modulation of the p53/MDM2/Bcl-2 axis.</w:t>
      </w:r>
    </w:p>
    <w:p w14:paraId="6046AEB9" w14:textId="2C6CC0A4" w:rsidR="00973A4B" w:rsidRPr="00D133C3" w:rsidRDefault="00973A4B" w:rsidP="00973A4B">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 xml:space="preserve">Our results support the development of multi-targeted strategies combining standard chemotherapy with </w:t>
      </w:r>
      <w:proofErr w:type="spellStart"/>
      <w:r w:rsidRPr="00D133C3">
        <w:rPr>
          <w:rFonts w:ascii="Times New Roman" w:hAnsi="Times New Roman" w:cs="Times New Roman"/>
          <w:bCs/>
          <w:color w:val="000000" w:themeColor="text1"/>
          <w:sz w:val="24"/>
          <w:szCs w:val="24"/>
          <w:lang w:bidi="fa-IR"/>
        </w:rPr>
        <w:t>tropolone</w:t>
      </w:r>
      <w:proofErr w:type="spellEnd"/>
      <w:r w:rsidRPr="00D133C3">
        <w:rPr>
          <w:rFonts w:ascii="Times New Roman" w:hAnsi="Times New Roman" w:cs="Times New Roman"/>
          <w:bCs/>
          <w:color w:val="000000" w:themeColor="text1"/>
          <w:sz w:val="24"/>
          <w:szCs w:val="24"/>
          <w:lang w:bidi="fa-IR"/>
        </w:rPr>
        <w:t xml:space="preserve"> derivatives to overcome treatment resistance in glioblastoma. However, clinical translation will require further studies on pharmacokinetics, optimal dosing regimens, and safety </w:t>
      </w:r>
      <w:r w:rsidRPr="00D133C3">
        <w:rPr>
          <w:rFonts w:ascii="Times New Roman" w:hAnsi="Times New Roman" w:cs="Times New Roman"/>
          <w:bCs/>
          <w:color w:val="000000" w:themeColor="text1"/>
          <w:sz w:val="24"/>
          <w:szCs w:val="24"/>
          <w:lang w:bidi="fa-IR"/>
        </w:rPr>
        <w:lastRenderedPageBreak/>
        <w:t>profiles. Nonetheless, the synergistic antitumor effect of JO-122(2) and TMZ underscores its potential as a novel therapeutic approach for aggressive brain tumors.</w:t>
      </w:r>
    </w:p>
    <w:p w14:paraId="2F2BE44A" w14:textId="77777777" w:rsidR="0053493C" w:rsidRPr="00D133C3" w:rsidRDefault="0053493C" w:rsidP="00E010C9">
      <w:pPr>
        <w:widowControl w:val="0"/>
        <w:spacing w:after="0" w:line="240" w:lineRule="auto"/>
        <w:jc w:val="both"/>
        <w:rPr>
          <w:rFonts w:ascii="Times New Roman" w:hAnsi="Times New Roman" w:cs="Times New Roman"/>
          <w:bCs/>
          <w:color w:val="000000" w:themeColor="text1"/>
          <w:sz w:val="24"/>
          <w:szCs w:val="24"/>
          <w:lang w:bidi="fa-IR"/>
        </w:rPr>
      </w:pPr>
    </w:p>
    <w:p w14:paraId="79FBB056" w14:textId="6B0E5679" w:rsidR="00DE1F50" w:rsidRPr="00D133C3" w:rsidRDefault="00DE1F50" w:rsidP="00DE1F50">
      <w:pPr>
        <w:widowControl w:val="0"/>
        <w:spacing w:after="0" w:line="240" w:lineRule="auto"/>
        <w:jc w:val="center"/>
        <w:rPr>
          <w:rFonts w:ascii="Times New Roman" w:hAnsi="Times New Roman" w:cs="Times New Roman"/>
          <w:b/>
          <w:bCs/>
          <w:color w:val="000000" w:themeColor="text1"/>
          <w:sz w:val="24"/>
          <w:szCs w:val="24"/>
          <w:lang w:bidi="fa-IR"/>
        </w:rPr>
      </w:pPr>
      <w:r w:rsidRPr="00D133C3">
        <w:rPr>
          <w:rFonts w:ascii="Times New Roman" w:hAnsi="Times New Roman" w:cs="Times New Roman"/>
          <w:b/>
          <w:bCs/>
          <w:color w:val="000000" w:themeColor="text1"/>
          <w:sz w:val="24"/>
          <w:szCs w:val="24"/>
          <w:lang w:bidi="fa-IR"/>
        </w:rPr>
        <w:t>CONCLUSION</w:t>
      </w:r>
    </w:p>
    <w:p w14:paraId="0EAD2CEA" w14:textId="093D17DF" w:rsidR="007E569D" w:rsidRPr="00D133C3" w:rsidRDefault="00AE1020" w:rsidP="00AE1020">
      <w:pPr>
        <w:widowControl w:val="0"/>
        <w:shd w:val="clear" w:color="auto" w:fill="FFFFFF"/>
        <w:spacing w:after="0" w:line="238"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 xml:space="preserve">The present study demonstrates that the synthetic </w:t>
      </w:r>
      <w:proofErr w:type="spellStart"/>
      <w:r w:rsidRPr="00D133C3">
        <w:rPr>
          <w:rFonts w:ascii="Times New Roman" w:hAnsi="Times New Roman" w:cs="Times New Roman"/>
          <w:bCs/>
          <w:color w:val="000000" w:themeColor="text1"/>
          <w:sz w:val="24"/>
          <w:szCs w:val="24"/>
          <w:lang w:bidi="fa-IR"/>
        </w:rPr>
        <w:t>tropolone</w:t>
      </w:r>
      <w:proofErr w:type="spellEnd"/>
      <w:r w:rsidRPr="00D133C3">
        <w:rPr>
          <w:rFonts w:ascii="Times New Roman" w:hAnsi="Times New Roman" w:cs="Times New Roman"/>
          <w:bCs/>
          <w:color w:val="000000" w:themeColor="text1"/>
          <w:sz w:val="24"/>
          <w:szCs w:val="24"/>
          <w:lang w:bidi="fa-IR"/>
        </w:rPr>
        <w:t xml:space="preserve"> derivative JO-122(2) exerts significant antitumor activity against glioblastoma in a U87MG xenograft model. Administration of JO-122(2), either as monotherapy or in combination with TMZ, resulted in substantial tumor growth inhibition, with the combination therapy showing superior efficacy. This synergistic effect is mediated through the modulation of key apoptotic regulators: JO-122(2) promotes p53 stabilization and activation, suppresses its negative regulator MDM2, shifts the Bcl-2/</w:t>
      </w:r>
      <w:proofErr w:type="spellStart"/>
      <w:r w:rsidRPr="00D133C3">
        <w:rPr>
          <w:rFonts w:ascii="Times New Roman" w:hAnsi="Times New Roman" w:cs="Times New Roman"/>
          <w:bCs/>
          <w:color w:val="000000" w:themeColor="text1"/>
          <w:sz w:val="24"/>
          <w:szCs w:val="24"/>
          <w:lang w:bidi="fa-IR"/>
        </w:rPr>
        <w:t>Bax</w:t>
      </w:r>
      <w:proofErr w:type="spellEnd"/>
      <w:r w:rsidRPr="00D133C3">
        <w:rPr>
          <w:rFonts w:ascii="Times New Roman" w:hAnsi="Times New Roman" w:cs="Times New Roman"/>
          <w:bCs/>
          <w:color w:val="000000" w:themeColor="text1"/>
          <w:sz w:val="24"/>
          <w:szCs w:val="24"/>
          <w:lang w:bidi="fa-IR"/>
        </w:rPr>
        <w:t xml:space="preserve"> balance toward pro-apoptotic signaling, and activates caspase-9. These findings indicate that JO-122(2) enhances mitochondrial apoptosis via coordinated regulation of the p53/MDM2 pathway. The results support the potential of JO-122(2) as a promising candidate for glioblastoma therapy, particularly in combination with standard chemotherapeutic agents.</w:t>
      </w:r>
    </w:p>
    <w:p w14:paraId="584EC74B" w14:textId="77777777" w:rsidR="00AE1020" w:rsidRPr="00D133C3" w:rsidRDefault="00AE1020" w:rsidP="007E569D">
      <w:pPr>
        <w:widowControl w:val="0"/>
        <w:shd w:val="clear" w:color="auto" w:fill="FFFFFF"/>
        <w:spacing w:after="0" w:line="238" w:lineRule="auto"/>
        <w:ind w:firstLine="170"/>
        <w:jc w:val="center"/>
        <w:rPr>
          <w:rFonts w:ascii="Times New Roman" w:hAnsi="Times New Roman" w:cs="Times New Roman"/>
          <w:color w:val="000000" w:themeColor="text1"/>
          <w:sz w:val="24"/>
          <w:szCs w:val="24"/>
        </w:rPr>
      </w:pPr>
    </w:p>
    <w:p w14:paraId="46E79FFD" w14:textId="77777777" w:rsidR="00D133C3" w:rsidRDefault="00D133C3" w:rsidP="00D133C3">
      <w:pPr>
        <w:widowControl w:val="0"/>
        <w:spacing w:after="0" w:line="240" w:lineRule="auto"/>
        <w:jc w:val="center"/>
        <w:rPr>
          <w:rStyle w:val="docsum-authors"/>
          <w:rFonts w:ascii="Times New Roman" w:eastAsia="Times New Roman" w:hAnsi="Times New Roman" w:cs="Times New Roman"/>
          <w:b/>
          <w:bCs/>
          <w:color w:val="000000" w:themeColor="text1"/>
          <w:sz w:val="24"/>
          <w:szCs w:val="24"/>
        </w:rPr>
      </w:pPr>
      <w:r w:rsidRPr="00BD3A38">
        <w:rPr>
          <w:rStyle w:val="docsum-authors"/>
          <w:rFonts w:ascii="Times New Roman" w:eastAsia="Times New Roman" w:hAnsi="Times New Roman" w:cs="Times New Roman"/>
          <w:b/>
          <w:bCs/>
          <w:color w:val="000000" w:themeColor="text1"/>
          <w:sz w:val="24"/>
          <w:szCs w:val="24"/>
        </w:rPr>
        <w:t>REFERENCES</w:t>
      </w:r>
      <w:r>
        <w:rPr>
          <w:rStyle w:val="docsum-authors"/>
          <w:rFonts w:ascii="Times New Roman" w:eastAsia="Times New Roman" w:hAnsi="Times New Roman" w:cs="Times New Roman"/>
          <w:b/>
          <w:bCs/>
          <w:color w:val="000000" w:themeColor="text1"/>
          <w:sz w:val="24"/>
          <w:szCs w:val="24"/>
        </w:rPr>
        <w:t xml:space="preserve"> </w:t>
      </w:r>
    </w:p>
    <w:p w14:paraId="3EF19463" w14:textId="77777777" w:rsidR="00D133C3" w:rsidRDefault="00D133C3" w:rsidP="00D133C3">
      <w:pPr>
        <w:widowControl w:val="0"/>
        <w:spacing w:after="0" w:line="240" w:lineRule="auto"/>
        <w:jc w:val="center"/>
        <w:rPr>
          <w:rStyle w:val="docsum-authors"/>
          <w:rFonts w:ascii="Times New Roman" w:eastAsia="Times New Roman" w:hAnsi="Times New Roman" w:cs="Times New Roman"/>
          <w:b/>
          <w:bCs/>
          <w:color w:val="000000" w:themeColor="text1"/>
          <w:sz w:val="24"/>
          <w:szCs w:val="24"/>
        </w:rPr>
      </w:pPr>
    </w:p>
    <w:p w14:paraId="54D66DE2" w14:textId="77777777" w:rsidR="00D133C3" w:rsidRPr="00B2432E" w:rsidRDefault="00D133C3" w:rsidP="00D133C3">
      <w:pPr>
        <w:pStyle w:val="EndNoteBibliography"/>
        <w:numPr>
          <w:ilvl w:val="0"/>
          <w:numId w:val="13"/>
        </w:numPr>
        <w:bidi w:val="0"/>
        <w:spacing w:after="0"/>
        <w:ind w:left="357" w:hanging="357"/>
        <w:jc w:val="both"/>
        <w:rPr>
          <w:rFonts w:ascii="Times New Roman" w:hAnsi="Times New Roman" w:cs="Times New Roman"/>
          <w:b w:val="0"/>
          <w:bCs/>
          <w:sz w:val="19"/>
          <w:szCs w:val="19"/>
        </w:rPr>
      </w:pPr>
      <w:r w:rsidRPr="00B2432E">
        <w:rPr>
          <w:rFonts w:ascii="Times New Roman" w:hAnsi="Times New Roman" w:cs="Times New Roman"/>
          <w:b w:val="0"/>
          <w:color w:val="222222"/>
          <w:sz w:val="19"/>
          <w:szCs w:val="20"/>
          <w:shd w:val="clear" w:color="auto" w:fill="FFFFFF"/>
        </w:rPr>
        <w:t>Kit OI, Vodolazhsky DI, Rastorguev EЕ, Frantsiyants ЕМ PD, Panina SB. Glioblastoma multiforme: pathogenesis and molecular markers. Voprosy Oncologii. 2017;63(5):694.</w:t>
      </w:r>
      <w:r w:rsidRPr="00F7608A">
        <w:rPr>
          <w:rFonts w:ascii="Times New Roman" w:hAnsi="Times New Roman" w:cs="Times New Roman"/>
          <w:b w:val="0"/>
          <w:color w:val="222222"/>
          <w:sz w:val="19"/>
          <w:szCs w:val="20"/>
          <w:shd w:val="clear" w:color="auto" w:fill="FFFFFF"/>
        </w:rPr>
        <w:t xml:space="preserve"> </w:t>
      </w:r>
    </w:p>
    <w:p w14:paraId="414261BA" w14:textId="77777777" w:rsidR="00D133C3" w:rsidRDefault="00D133C3" w:rsidP="00D133C3">
      <w:pPr>
        <w:pStyle w:val="EndNoteBibliography"/>
        <w:numPr>
          <w:ilvl w:val="0"/>
          <w:numId w:val="13"/>
        </w:numPr>
        <w:bidi w:val="0"/>
        <w:spacing w:after="0"/>
        <w:ind w:left="357" w:hanging="357"/>
        <w:jc w:val="both"/>
        <w:rPr>
          <w:rFonts w:ascii="Times New Roman" w:hAnsi="Times New Roman" w:cs="Times New Roman"/>
          <w:b w:val="0"/>
          <w:bCs/>
          <w:sz w:val="19"/>
          <w:szCs w:val="19"/>
        </w:rPr>
      </w:pPr>
      <w:r w:rsidRPr="00F7608A">
        <w:rPr>
          <w:rFonts w:ascii="Times New Roman" w:hAnsi="Times New Roman" w:cs="Times New Roman"/>
          <w:b w:val="0"/>
          <w:bCs/>
          <w:sz w:val="19"/>
          <w:szCs w:val="19"/>
        </w:rPr>
        <w:t>Morás AM, Henn JG, Reinhardt LS, Lenz G, Moura DJ. Recent developments in drug delivery strategies for targeting DNA damage response in glioblastoma. Life Sciences. 2021 Dec 15;287:120128.</w:t>
      </w:r>
    </w:p>
    <w:p w14:paraId="2AABE241" w14:textId="77777777" w:rsidR="00D133C3" w:rsidRPr="00B2432E" w:rsidRDefault="00D133C3" w:rsidP="00D133C3">
      <w:pPr>
        <w:pStyle w:val="EndNoteBibliography"/>
        <w:numPr>
          <w:ilvl w:val="0"/>
          <w:numId w:val="13"/>
        </w:numPr>
        <w:bidi w:val="0"/>
        <w:spacing w:after="0"/>
        <w:ind w:left="357" w:hanging="357"/>
        <w:jc w:val="both"/>
        <w:rPr>
          <w:rFonts w:ascii="Times New Roman" w:hAnsi="Times New Roman" w:cs="Times New Roman"/>
          <w:b w:val="0"/>
          <w:bCs/>
          <w:sz w:val="19"/>
          <w:szCs w:val="19"/>
        </w:rPr>
      </w:pPr>
      <w:r w:rsidRPr="00B2432E">
        <w:rPr>
          <w:rFonts w:ascii="Times New Roman" w:hAnsi="Times New Roman" w:cs="Times New Roman"/>
          <w:b w:val="0"/>
          <w:bCs/>
          <w:sz w:val="19"/>
          <w:szCs w:val="19"/>
        </w:rPr>
        <w:t>Kuznetsova NS, Gurova SV, Goncharova AS, Zaikina EV, Gusareva MA, Zinkovich MS. Modern approaches to glioblastoma therapy. South Russian Journal of Cancer. 2023;4(1 (eng)):52-64.</w:t>
      </w:r>
    </w:p>
    <w:p w14:paraId="1F13AE9B" w14:textId="77777777" w:rsidR="00D133C3" w:rsidRDefault="00D133C3" w:rsidP="00D133C3">
      <w:pPr>
        <w:pStyle w:val="EndNoteBibliography"/>
        <w:numPr>
          <w:ilvl w:val="0"/>
          <w:numId w:val="13"/>
        </w:numPr>
        <w:bidi w:val="0"/>
        <w:spacing w:after="0"/>
        <w:ind w:left="357" w:hanging="357"/>
        <w:jc w:val="both"/>
        <w:rPr>
          <w:rFonts w:ascii="Times New Roman" w:hAnsi="Times New Roman" w:cs="Times New Roman"/>
          <w:b w:val="0"/>
          <w:bCs/>
          <w:sz w:val="19"/>
          <w:szCs w:val="19"/>
        </w:rPr>
      </w:pPr>
      <w:r w:rsidRPr="00A75579">
        <w:rPr>
          <w:rFonts w:ascii="Times New Roman" w:hAnsi="Times New Roman" w:cs="Times New Roman"/>
          <w:b w:val="0"/>
          <w:bCs/>
          <w:sz w:val="19"/>
          <w:szCs w:val="19"/>
        </w:rPr>
        <w:t>Dhuguru J, Ghoneim OA. Quinazoline based HDAC dual inhibitors as potential anti-cancer agents. Molecules. 2022 Mar 31;27(7):2294.</w:t>
      </w:r>
    </w:p>
    <w:p w14:paraId="511E45BA" w14:textId="77777777" w:rsidR="00D133C3" w:rsidRDefault="00D133C3" w:rsidP="00D133C3">
      <w:pPr>
        <w:pStyle w:val="EndNoteBibliography"/>
        <w:numPr>
          <w:ilvl w:val="0"/>
          <w:numId w:val="13"/>
        </w:numPr>
        <w:bidi w:val="0"/>
        <w:spacing w:after="0"/>
        <w:ind w:left="357" w:hanging="357"/>
        <w:jc w:val="both"/>
        <w:rPr>
          <w:rFonts w:ascii="Times New Roman" w:hAnsi="Times New Roman" w:cs="Times New Roman"/>
          <w:b w:val="0"/>
          <w:bCs/>
          <w:sz w:val="19"/>
          <w:szCs w:val="19"/>
        </w:rPr>
      </w:pPr>
      <w:r w:rsidRPr="00A75579">
        <w:rPr>
          <w:rFonts w:ascii="Times New Roman" w:hAnsi="Times New Roman" w:cs="Times New Roman"/>
          <w:b w:val="0"/>
          <w:bCs/>
          <w:sz w:val="19"/>
          <w:szCs w:val="19"/>
        </w:rPr>
        <w:t>Balsa LM, Ruiz MC, de la Parra LS, Baran EJ, León IE. Anticancer and antimetastatic activity of copper (II)-tropolone complex against human breast cancer cells, breast multicellular spheroids and mammospheres. Journal of Inorganic Biochemistry. 2020 Mar 1;204:110975.</w:t>
      </w:r>
    </w:p>
    <w:p w14:paraId="1165CD1C" w14:textId="77777777" w:rsidR="00D133C3" w:rsidRDefault="00D133C3" w:rsidP="00D133C3">
      <w:pPr>
        <w:pStyle w:val="EndNoteBibliography"/>
        <w:numPr>
          <w:ilvl w:val="0"/>
          <w:numId w:val="13"/>
        </w:numPr>
        <w:bidi w:val="0"/>
        <w:spacing w:after="0"/>
        <w:ind w:left="357" w:hanging="357"/>
        <w:jc w:val="both"/>
        <w:rPr>
          <w:rFonts w:ascii="Times New Roman" w:hAnsi="Times New Roman" w:cs="Times New Roman"/>
          <w:b w:val="0"/>
          <w:bCs/>
          <w:sz w:val="19"/>
          <w:szCs w:val="19"/>
        </w:rPr>
      </w:pPr>
      <w:r w:rsidRPr="00A75579">
        <w:rPr>
          <w:rFonts w:ascii="Times New Roman" w:hAnsi="Times New Roman" w:cs="Times New Roman"/>
          <w:b w:val="0"/>
          <w:bCs/>
          <w:sz w:val="19"/>
          <w:szCs w:val="19"/>
        </w:rPr>
        <w:t>Woodson ME, Mottaleb MA, Murelli RP, Tavis JE. In vitro evaluation of tropolone absorption, metabolism, and clearance. Antiviral research. 2023 Dec 1;220:105762.</w:t>
      </w:r>
    </w:p>
    <w:p w14:paraId="097A6B2A" w14:textId="77777777" w:rsidR="00D133C3" w:rsidRDefault="00D133C3" w:rsidP="00D133C3">
      <w:pPr>
        <w:pStyle w:val="EndNoteBibliography"/>
        <w:numPr>
          <w:ilvl w:val="0"/>
          <w:numId w:val="13"/>
        </w:numPr>
        <w:bidi w:val="0"/>
        <w:spacing w:after="0"/>
        <w:ind w:left="357" w:hanging="357"/>
        <w:jc w:val="both"/>
        <w:rPr>
          <w:rFonts w:ascii="Times New Roman" w:hAnsi="Times New Roman" w:cs="Times New Roman"/>
          <w:b w:val="0"/>
          <w:bCs/>
          <w:sz w:val="19"/>
          <w:szCs w:val="19"/>
        </w:rPr>
      </w:pPr>
      <w:r w:rsidRPr="00A75579">
        <w:rPr>
          <w:rFonts w:ascii="Times New Roman" w:hAnsi="Times New Roman" w:cs="Times New Roman"/>
          <w:b w:val="0"/>
          <w:bCs/>
          <w:sz w:val="19"/>
          <w:szCs w:val="19"/>
        </w:rPr>
        <w:t>Magori N, Fujita T, Kumamoto E. Hinokitiol inhibits compound action potentials in the frog sciatic nerve. European Journal of Pharmacology. 2018 Jan 15;819:254-60.</w:t>
      </w:r>
    </w:p>
    <w:p w14:paraId="386DE261" w14:textId="77777777" w:rsidR="00D133C3" w:rsidRPr="005E746C" w:rsidRDefault="00D133C3" w:rsidP="00D133C3">
      <w:pPr>
        <w:pStyle w:val="EndNoteBibliography"/>
        <w:numPr>
          <w:ilvl w:val="0"/>
          <w:numId w:val="13"/>
        </w:numPr>
        <w:bidi w:val="0"/>
        <w:spacing w:after="0"/>
        <w:ind w:left="357" w:hanging="357"/>
        <w:jc w:val="both"/>
        <w:rPr>
          <w:rFonts w:ascii="Times New Roman" w:hAnsi="Times New Roman" w:cs="Times New Roman"/>
          <w:b w:val="0"/>
          <w:bCs/>
          <w:sz w:val="19"/>
          <w:szCs w:val="19"/>
        </w:rPr>
      </w:pPr>
      <w:r w:rsidRPr="005E746C">
        <w:rPr>
          <w:rFonts w:ascii="Times New Roman" w:hAnsi="Times New Roman" w:cs="Times New Roman"/>
          <w:b w:val="0"/>
          <w:bCs/>
          <w:sz w:val="19"/>
          <w:szCs w:val="19"/>
        </w:rPr>
        <w:t>Haney SL, Feng D, Kollala SS, Chhonker YS, Varney ML, Williams JT, Ford JB, Murry DJ, Holstein SA. Investigation of the activity of a novel tropolone in osteosarcoma. Drug development research. 2024 Feb;85(1):e22129.</w:t>
      </w:r>
    </w:p>
    <w:p w14:paraId="6A927EF3" w14:textId="77777777" w:rsidR="00D133C3" w:rsidRDefault="00D133C3" w:rsidP="00D133C3">
      <w:pPr>
        <w:pStyle w:val="EndNoteBibliography"/>
        <w:numPr>
          <w:ilvl w:val="0"/>
          <w:numId w:val="13"/>
        </w:numPr>
        <w:bidi w:val="0"/>
        <w:spacing w:after="0"/>
        <w:ind w:left="357" w:hanging="357"/>
        <w:jc w:val="both"/>
        <w:rPr>
          <w:rFonts w:ascii="Times New Roman" w:hAnsi="Times New Roman" w:cs="Times New Roman"/>
          <w:b w:val="0"/>
          <w:bCs/>
          <w:sz w:val="19"/>
          <w:szCs w:val="19"/>
        </w:rPr>
      </w:pPr>
      <w:r w:rsidRPr="00A75579">
        <w:rPr>
          <w:rFonts w:ascii="Times New Roman" w:hAnsi="Times New Roman" w:cs="Times New Roman"/>
          <w:b w:val="0"/>
          <w:bCs/>
          <w:sz w:val="19"/>
          <w:szCs w:val="19"/>
        </w:rPr>
        <w:t>Ahn JH, Woo JH, Rho JR, Choi JH. Anticancer activity of gukulenin a isolated from the marine sponge Phorbas gukhulensis in vitro and in vivo. Marine Drugs. 2019 Feb 21;17(2):126.</w:t>
      </w:r>
    </w:p>
    <w:p w14:paraId="111D16B5" w14:textId="77777777" w:rsidR="00D133C3" w:rsidRDefault="00D133C3" w:rsidP="00D133C3">
      <w:pPr>
        <w:pStyle w:val="EndNoteBibliography"/>
        <w:numPr>
          <w:ilvl w:val="0"/>
          <w:numId w:val="13"/>
        </w:numPr>
        <w:bidi w:val="0"/>
        <w:spacing w:after="0"/>
        <w:ind w:left="357" w:hanging="357"/>
        <w:jc w:val="both"/>
        <w:rPr>
          <w:rFonts w:ascii="Times New Roman" w:hAnsi="Times New Roman" w:cs="Times New Roman"/>
          <w:b w:val="0"/>
          <w:bCs/>
          <w:sz w:val="19"/>
          <w:szCs w:val="19"/>
        </w:rPr>
      </w:pPr>
      <w:r w:rsidRPr="00081F29">
        <w:rPr>
          <w:rFonts w:ascii="Times New Roman" w:hAnsi="Times New Roman" w:cs="Times New Roman"/>
          <w:b w:val="0"/>
          <w:bCs/>
          <w:sz w:val="19"/>
          <w:szCs w:val="19"/>
        </w:rPr>
        <w:t>Palai BB, Patel SA, Sharma NK, Dixit M. One-pot synthesis of cyclic-aminotropiminium carboxylate derivatives with DNA binding and anticancer properties. Communications Chemistry. 2022 Dec 27;5(1):179.</w:t>
      </w:r>
    </w:p>
    <w:p w14:paraId="23FCDCD8" w14:textId="77777777" w:rsidR="00D133C3" w:rsidRDefault="00D133C3" w:rsidP="00D133C3">
      <w:pPr>
        <w:pStyle w:val="EndNoteBibliography"/>
        <w:numPr>
          <w:ilvl w:val="0"/>
          <w:numId w:val="13"/>
        </w:numPr>
        <w:bidi w:val="0"/>
        <w:spacing w:after="0"/>
        <w:ind w:left="357" w:hanging="357"/>
        <w:jc w:val="both"/>
        <w:rPr>
          <w:rFonts w:ascii="Times New Roman" w:hAnsi="Times New Roman" w:cs="Times New Roman"/>
          <w:b w:val="0"/>
          <w:bCs/>
          <w:sz w:val="19"/>
          <w:szCs w:val="19"/>
        </w:rPr>
      </w:pPr>
      <w:r>
        <w:rPr>
          <w:rFonts w:ascii="Times New Roman" w:hAnsi="Times New Roman" w:cs="Times New Roman"/>
          <w:b w:val="0"/>
          <w:bCs/>
          <w:sz w:val="19"/>
          <w:szCs w:val="19"/>
        </w:rPr>
        <w:t>Kamlyk DV, Khodakova DV, Goncharova AS, Golovinov IV, Galina AV, Shulga AA, Gurova SV</w:t>
      </w:r>
      <w:r w:rsidRPr="008A5C3D">
        <w:rPr>
          <w:rFonts w:ascii="Times New Roman" w:hAnsi="Times New Roman" w:cs="Times New Roman"/>
          <w:b w:val="0"/>
          <w:bCs/>
          <w:sz w:val="19"/>
          <w:szCs w:val="19"/>
        </w:rPr>
        <w:t xml:space="preserve"> Antitumor activity of tropolone JO-122(2) in subcutaneous CDX models of cancer. Research and Practical Medicine Journal. 2025;12(3):</w:t>
      </w:r>
      <w:r>
        <w:rPr>
          <w:rFonts w:ascii="Times New Roman" w:hAnsi="Times New Roman" w:cs="Times New Roman"/>
          <w:b w:val="0"/>
          <w:bCs/>
          <w:sz w:val="19"/>
          <w:szCs w:val="19"/>
        </w:rPr>
        <w:t>53-60.</w:t>
      </w:r>
    </w:p>
    <w:p w14:paraId="36B12210" w14:textId="77777777" w:rsidR="00D133C3" w:rsidRDefault="00D133C3" w:rsidP="00D133C3">
      <w:pPr>
        <w:pStyle w:val="EndNoteBibliography"/>
        <w:numPr>
          <w:ilvl w:val="0"/>
          <w:numId w:val="13"/>
        </w:numPr>
        <w:bidi w:val="0"/>
        <w:spacing w:after="0"/>
        <w:ind w:left="357" w:hanging="357"/>
        <w:jc w:val="both"/>
        <w:rPr>
          <w:rFonts w:ascii="Times New Roman" w:hAnsi="Times New Roman" w:cs="Times New Roman"/>
          <w:b w:val="0"/>
          <w:bCs/>
          <w:sz w:val="19"/>
          <w:szCs w:val="19"/>
        </w:rPr>
      </w:pPr>
      <w:r w:rsidRPr="008A5C3D">
        <w:rPr>
          <w:rFonts w:ascii="Times New Roman" w:hAnsi="Times New Roman" w:cs="Times New Roman"/>
          <w:b w:val="0"/>
          <w:bCs/>
          <w:sz w:val="19"/>
          <w:szCs w:val="19"/>
        </w:rPr>
        <w:t>Kamlyk DV, Khodakova DV, Kolesnikov VE, Snezhko AV, Kolesnikov EN, Gurova SV, Galina AV, Goncharova AS, Shulga AA, Golovinov IV, Gusakov EA, Sayapin YA. Evaluation of the antitumor efficacy of 2-(1,1-dimethyl-1H-benzo[e]indolin-2-yl)-5,6,7-trichloro-1,3-tropolone in vivo. Modern problems of science and education. 2025;3:8-8.</w:t>
      </w:r>
    </w:p>
    <w:p w14:paraId="44748040" w14:textId="77777777" w:rsidR="00D133C3" w:rsidRDefault="00D133C3" w:rsidP="00D133C3">
      <w:pPr>
        <w:pStyle w:val="EndNoteBibliography"/>
        <w:numPr>
          <w:ilvl w:val="0"/>
          <w:numId w:val="13"/>
        </w:numPr>
        <w:bidi w:val="0"/>
        <w:spacing w:after="0"/>
        <w:ind w:left="357" w:hanging="357"/>
        <w:jc w:val="both"/>
        <w:rPr>
          <w:rFonts w:ascii="Times New Roman" w:hAnsi="Times New Roman" w:cs="Times New Roman"/>
          <w:b w:val="0"/>
          <w:bCs/>
          <w:sz w:val="19"/>
          <w:szCs w:val="19"/>
        </w:rPr>
      </w:pPr>
      <w:r w:rsidRPr="00294DE6">
        <w:rPr>
          <w:rFonts w:ascii="Times New Roman" w:hAnsi="Times New Roman" w:cs="Times New Roman"/>
          <w:b w:val="0"/>
          <w:bCs/>
          <w:sz w:val="19"/>
          <w:szCs w:val="19"/>
        </w:rPr>
        <w:t>Jayakumar T, Liu CH, Wu GY, Lee TY, Manubolu M, Hsieh CY, Yang CH, Sheu JR. Hinokitiol inhibits migration of A549 lung cancer cells via suppression of MMPs and induction of antioxidant enzymes and apoptosis. International journal of molecular sciences. 2018 Mar 22;19(4):939.</w:t>
      </w:r>
    </w:p>
    <w:p w14:paraId="4468F92E" w14:textId="77777777" w:rsidR="00D133C3" w:rsidRDefault="00D133C3" w:rsidP="00D133C3">
      <w:pPr>
        <w:pStyle w:val="EndNoteBibliography"/>
        <w:numPr>
          <w:ilvl w:val="0"/>
          <w:numId w:val="13"/>
        </w:numPr>
        <w:bidi w:val="0"/>
        <w:spacing w:after="0"/>
        <w:ind w:left="357" w:hanging="357"/>
        <w:jc w:val="both"/>
        <w:rPr>
          <w:rFonts w:ascii="Times New Roman" w:hAnsi="Times New Roman" w:cs="Times New Roman"/>
          <w:b w:val="0"/>
          <w:bCs/>
          <w:sz w:val="19"/>
          <w:szCs w:val="19"/>
        </w:rPr>
      </w:pPr>
      <w:r w:rsidRPr="00294DE6">
        <w:rPr>
          <w:rFonts w:ascii="Times New Roman" w:hAnsi="Times New Roman" w:cs="Times New Roman"/>
          <w:b w:val="0"/>
          <w:bCs/>
          <w:sz w:val="19"/>
          <w:szCs w:val="19"/>
        </w:rPr>
        <w:t>Lukbanova EA, Dzhenkova EA, Goncharova AS, Maksimov AY, Komarova EF, Minkin VI, Sayapin YA, Gusakov EA, Kurbanova LZ, Kiblitskaya AA, Zaikina EV. Study of biological activity of 2-quinoline-2-yl-derivative 1, 3-tropolone in experiment. Research and Practical Medicine Journal. 2022 Mar 24;9(2):50-64.</w:t>
      </w:r>
    </w:p>
    <w:p w14:paraId="0A2C4310" w14:textId="77777777" w:rsidR="00D133C3" w:rsidRDefault="00D133C3" w:rsidP="00D133C3">
      <w:pPr>
        <w:pStyle w:val="EndNoteBibliography"/>
        <w:numPr>
          <w:ilvl w:val="0"/>
          <w:numId w:val="13"/>
        </w:numPr>
        <w:bidi w:val="0"/>
        <w:spacing w:after="0"/>
        <w:ind w:left="357" w:hanging="357"/>
        <w:jc w:val="both"/>
        <w:rPr>
          <w:rFonts w:ascii="Times New Roman" w:hAnsi="Times New Roman" w:cs="Times New Roman"/>
          <w:b w:val="0"/>
          <w:bCs/>
          <w:sz w:val="19"/>
          <w:szCs w:val="19"/>
        </w:rPr>
      </w:pPr>
      <w:r w:rsidRPr="008E02A7">
        <w:rPr>
          <w:rFonts w:ascii="Times New Roman" w:hAnsi="Times New Roman" w:cs="Times New Roman"/>
          <w:b w:val="0"/>
          <w:bCs/>
          <w:sz w:val="19"/>
          <w:szCs w:val="19"/>
        </w:rPr>
        <w:t>Yang FC, Wang C, Zhu J, Gai QJ, Mao M, He J, Qin Y, Yao XX, Wang YX, Lu HM, Cao MF. Inhibitory effects of temozolomide on glioma cells is sensitized by RSL3-induced ferroptosis but negatively correlated with expression of ferritin heavy chain 1 and ferritin light chain. Laboratory Investigation. 2022 Jul 1;102(7):741-52.</w:t>
      </w:r>
    </w:p>
    <w:p w14:paraId="5F157F1F" w14:textId="77777777" w:rsidR="00D133C3" w:rsidRDefault="00D133C3" w:rsidP="00D133C3">
      <w:pPr>
        <w:pStyle w:val="EndNoteBibliography"/>
        <w:numPr>
          <w:ilvl w:val="0"/>
          <w:numId w:val="13"/>
        </w:numPr>
        <w:bidi w:val="0"/>
        <w:spacing w:after="0"/>
        <w:ind w:left="357" w:hanging="357"/>
        <w:jc w:val="both"/>
        <w:rPr>
          <w:rFonts w:ascii="Times New Roman" w:hAnsi="Times New Roman" w:cs="Times New Roman"/>
          <w:b w:val="0"/>
          <w:bCs/>
          <w:sz w:val="19"/>
          <w:szCs w:val="19"/>
        </w:rPr>
      </w:pPr>
      <w:r w:rsidRPr="00E010C9">
        <w:rPr>
          <w:rFonts w:ascii="Times New Roman" w:hAnsi="Times New Roman" w:cs="Times New Roman"/>
          <w:b w:val="0"/>
          <w:bCs/>
          <w:sz w:val="19"/>
          <w:szCs w:val="19"/>
        </w:rPr>
        <w:t>Khodakova DV, Vlasov SN, Filippova SY, Goncharova AS, Shulga AA, Golovinov IV, Gusakov EA, Sayapin YA. Study of the cytotoxic effect of 2-(1,1-dimethyl-1H-benzo[e]indolin-2-yl)-5,6,7-trichloro-1,3-tropolone on the tumor culture of human gastric adenocarcinoma. Modern problems of science and education. 2024;3:24-24.</w:t>
      </w:r>
    </w:p>
    <w:p w14:paraId="56BABEF2" w14:textId="77777777" w:rsidR="00D133C3" w:rsidRPr="00AE1020" w:rsidRDefault="00D133C3" w:rsidP="00D133C3">
      <w:pPr>
        <w:pStyle w:val="EndNoteBibliography"/>
        <w:numPr>
          <w:ilvl w:val="0"/>
          <w:numId w:val="13"/>
        </w:numPr>
        <w:bidi w:val="0"/>
        <w:spacing w:after="0"/>
        <w:ind w:left="357" w:hanging="357"/>
        <w:jc w:val="both"/>
        <w:rPr>
          <w:rFonts w:ascii="Times New Roman" w:hAnsi="Times New Roman" w:cs="Times New Roman"/>
          <w:b w:val="0"/>
          <w:bCs/>
          <w:sz w:val="19"/>
          <w:szCs w:val="19"/>
          <w:lang w:val="ru-RU"/>
        </w:rPr>
      </w:pPr>
      <w:r w:rsidRPr="00AE1020">
        <w:rPr>
          <w:rFonts w:ascii="Times New Roman" w:hAnsi="Times New Roman" w:cs="Times New Roman"/>
          <w:b w:val="0"/>
          <w:bCs/>
          <w:sz w:val="19"/>
          <w:szCs w:val="19"/>
        </w:rPr>
        <w:t xml:space="preserve">Gnennaya NV, Chembarova TV, Filippova SYu, Mezhevova IV, Novikova IA, Kit OI, Rostorguev EE, Sayapin YuA, Gusakov EA, Tupaeva IO, Goncharova AS. Study of the cytostatic effect of a tropolone derivative on primary glioma cell cultures. </w:t>
      </w:r>
      <w:r w:rsidRPr="00AE1020">
        <w:rPr>
          <w:rFonts w:ascii="Times New Roman" w:hAnsi="Times New Roman" w:cs="Times New Roman"/>
          <w:b w:val="0"/>
          <w:bCs/>
          <w:sz w:val="19"/>
          <w:szCs w:val="19"/>
          <w:lang w:val="ru-RU"/>
        </w:rPr>
        <w:t>Voprosy Oncologii. 2024;70(S3):240-1.</w:t>
      </w:r>
    </w:p>
    <w:p w14:paraId="553C3F53" w14:textId="77777777" w:rsidR="00D133C3" w:rsidRPr="00AE1020" w:rsidRDefault="00D133C3" w:rsidP="00D133C3">
      <w:pPr>
        <w:pStyle w:val="EndNoteBibliography"/>
        <w:numPr>
          <w:ilvl w:val="0"/>
          <w:numId w:val="13"/>
        </w:numPr>
        <w:bidi w:val="0"/>
        <w:spacing w:after="0"/>
        <w:ind w:left="357" w:hanging="357"/>
        <w:jc w:val="both"/>
        <w:rPr>
          <w:rFonts w:ascii="Times New Roman" w:hAnsi="Times New Roman" w:cs="Times New Roman"/>
          <w:b w:val="0"/>
          <w:bCs/>
          <w:sz w:val="19"/>
          <w:szCs w:val="19"/>
          <w:lang w:val="ru-RU"/>
        </w:rPr>
      </w:pPr>
      <w:r w:rsidRPr="00AE1020">
        <w:rPr>
          <w:rFonts w:ascii="Times New Roman" w:hAnsi="Times New Roman" w:cs="Times New Roman"/>
          <w:b w:val="0"/>
          <w:bCs/>
          <w:sz w:val="19"/>
          <w:szCs w:val="19"/>
        </w:rPr>
        <w:lastRenderedPageBreak/>
        <w:t xml:space="preserve">Mezhevova IV, Filippova SYu, Chembarova TV, Gnennaya NV, Goncharova AS, Sayapin YuA, Gusakov EA, Novikova IA, Kit OI. Investigation of the cytostatic properties of the novel organic compound 2-(1,1-dimethyl-1H-benzo[e]indolin-2-yl)-5,6,7-trichloro-1,3-tropolone (JO122) on colorectal cancer culture. </w:t>
      </w:r>
      <w:r w:rsidRPr="00AE1020">
        <w:rPr>
          <w:rFonts w:ascii="Times New Roman" w:hAnsi="Times New Roman" w:cs="Times New Roman"/>
          <w:b w:val="0"/>
          <w:bCs/>
          <w:sz w:val="19"/>
          <w:szCs w:val="19"/>
          <w:lang w:val="ru-RU"/>
        </w:rPr>
        <w:t>Voprosy Oncologii. 2024;70(S3):51-2.</w:t>
      </w:r>
    </w:p>
    <w:p w14:paraId="03564532" w14:textId="77777777" w:rsidR="00D133C3" w:rsidRPr="007C6073" w:rsidRDefault="00D133C3" w:rsidP="00D133C3">
      <w:pPr>
        <w:pStyle w:val="EndNoteBibliography"/>
        <w:numPr>
          <w:ilvl w:val="0"/>
          <w:numId w:val="13"/>
        </w:numPr>
        <w:bidi w:val="0"/>
        <w:spacing w:after="0"/>
        <w:ind w:left="357" w:hanging="357"/>
        <w:jc w:val="both"/>
        <w:rPr>
          <w:rFonts w:ascii="Times New Roman" w:hAnsi="Times New Roman" w:cs="Times New Roman"/>
          <w:b w:val="0"/>
          <w:bCs/>
          <w:sz w:val="19"/>
          <w:szCs w:val="19"/>
        </w:rPr>
      </w:pPr>
      <w:r w:rsidRPr="00AE1020">
        <w:rPr>
          <w:rFonts w:ascii="Times New Roman" w:hAnsi="Times New Roman" w:cs="Times New Roman"/>
          <w:b w:val="0"/>
          <w:bCs/>
          <w:sz w:val="19"/>
          <w:szCs w:val="19"/>
        </w:rPr>
        <w:t>Chembarova TV, Filippova SYu, Goncharova AS, Galina AV, Novikova IA, Sayapin YuA, Gusakov EA, Tupaeva IO, Krasnikova TA. Cytostatic action of new tropolone derivatives on epidermoid carcinoma cells. In: Proceedings of the XII Congress of Oncologists of Russia. Supplement to the Journal "Privolzhskiy Oncological Bulletin". Kazan: Meditsinskiy Izdatel'skiy Dom "Praktika"; 2023. p. 229.</w:t>
      </w:r>
    </w:p>
    <w:p w14:paraId="1FA9542D" w14:textId="77777777" w:rsidR="00D133C3" w:rsidRPr="002E1EF1" w:rsidRDefault="00D133C3" w:rsidP="00D133C3">
      <w:pPr>
        <w:pStyle w:val="EndNoteBibliography"/>
        <w:numPr>
          <w:ilvl w:val="0"/>
          <w:numId w:val="13"/>
        </w:numPr>
        <w:bidi w:val="0"/>
        <w:spacing w:after="0"/>
        <w:ind w:left="357" w:hanging="357"/>
        <w:jc w:val="both"/>
        <w:rPr>
          <w:rFonts w:ascii="Times New Roman" w:hAnsi="Times New Roman" w:cs="Times New Roman"/>
          <w:b w:val="0"/>
          <w:bCs/>
          <w:sz w:val="19"/>
          <w:szCs w:val="19"/>
          <w:lang w:val="ru-RU"/>
        </w:rPr>
      </w:pPr>
      <w:r w:rsidRPr="002E1EF1">
        <w:rPr>
          <w:rFonts w:ascii="Times New Roman" w:hAnsi="Times New Roman" w:cs="Times New Roman"/>
          <w:b w:val="0"/>
          <w:bCs/>
          <w:sz w:val="19"/>
          <w:szCs w:val="19"/>
        </w:rPr>
        <w:t xml:space="preserve">Seo SK, Hwang CS, Choe TB, Hong SI, Yi JY, Hwang SG, Lee HG, Oh ST, Lee YH, Park IC. Selective inhibition of histone deacetylase 2 induces p53-dependent survivin downregulation through MDM2 proteasomal degradation. </w:t>
      </w:r>
      <w:r w:rsidRPr="002E1EF1">
        <w:rPr>
          <w:rFonts w:ascii="Times New Roman" w:hAnsi="Times New Roman" w:cs="Times New Roman"/>
          <w:b w:val="0"/>
          <w:bCs/>
          <w:sz w:val="19"/>
          <w:szCs w:val="19"/>
          <w:lang w:val="ru-RU"/>
        </w:rPr>
        <w:t>Oncotarget. 2014 Dec 31;6(28):26528.</w:t>
      </w:r>
    </w:p>
    <w:p w14:paraId="3E0F00FD" w14:textId="77777777" w:rsidR="00D133C3" w:rsidRDefault="00D133C3" w:rsidP="00D133C3">
      <w:pPr>
        <w:pStyle w:val="EndNoteBibliography"/>
        <w:numPr>
          <w:ilvl w:val="0"/>
          <w:numId w:val="13"/>
        </w:numPr>
        <w:bidi w:val="0"/>
        <w:spacing w:after="0"/>
        <w:ind w:left="357" w:hanging="357"/>
        <w:jc w:val="both"/>
        <w:rPr>
          <w:rFonts w:ascii="Times New Roman" w:hAnsi="Times New Roman" w:cs="Times New Roman"/>
          <w:b w:val="0"/>
          <w:bCs/>
          <w:sz w:val="19"/>
          <w:szCs w:val="19"/>
          <w:lang w:val="ru-RU"/>
        </w:rPr>
      </w:pPr>
      <w:r w:rsidRPr="002E1EF1">
        <w:rPr>
          <w:rFonts w:ascii="Times New Roman" w:hAnsi="Times New Roman" w:cs="Times New Roman"/>
          <w:b w:val="0"/>
          <w:bCs/>
          <w:sz w:val="19"/>
          <w:szCs w:val="19"/>
        </w:rPr>
        <w:t>Fullagar JL, Garner AL, Struss AK, Day JA, Martin DP, Yu J, Cai X, Janda KD, Cohen SM. Antagonism of a zinc metalloprotease using a unique metal-chelating scaffold: tropolones as inhibitors of P. aeruginosa elastase. Chemical Communications. 2013;49(31):3197-9.</w:t>
      </w:r>
    </w:p>
    <w:p w14:paraId="60A5BE0E" w14:textId="77777777" w:rsidR="00D133C3" w:rsidRDefault="00D133C3" w:rsidP="00D133C3">
      <w:pPr>
        <w:pStyle w:val="EndNoteBibliography"/>
        <w:numPr>
          <w:ilvl w:val="0"/>
          <w:numId w:val="13"/>
        </w:numPr>
        <w:bidi w:val="0"/>
        <w:spacing w:after="0"/>
        <w:ind w:left="357" w:hanging="357"/>
        <w:jc w:val="both"/>
        <w:rPr>
          <w:rFonts w:ascii="Times New Roman" w:hAnsi="Times New Roman" w:cs="Times New Roman"/>
          <w:b w:val="0"/>
          <w:bCs/>
          <w:sz w:val="19"/>
          <w:szCs w:val="19"/>
          <w:lang w:val="ru-RU"/>
        </w:rPr>
      </w:pPr>
      <w:r w:rsidRPr="002E1EF1">
        <w:rPr>
          <w:rFonts w:ascii="Times New Roman" w:hAnsi="Times New Roman" w:cs="Times New Roman"/>
          <w:b w:val="0"/>
          <w:bCs/>
          <w:sz w:val="19"/>
          <w:szCs w:val="19"/>
        </w:rPr>
        <w:t xml:space="preserve">Haney SL, Allen C, Varney ML, Dykstra KM, Falcone ER, Colligan SH, Hu Q, Aldridge AM, Wright DL, Wiemer AJ, Holstein SA. Novel tropolones induce the unfolded protein response pathway and apoptosis in multiple myeloma cells. </w:t>
      </w:r>
      <w:r w:rsidRPr="002E1EF1">
        <w:rPr>
          <w:rFonts w:ascii="Times New Roman" w:hAnsi="Times New Roman" w:cs="Times New Roman"/>
          <w:b w:val="0"/>
          <w:bCs/>
          <w:sz w:val="19"/>
          <w:szCs w:val="19"/>
          <w:lang w:val="ru-RU"/>
        </w:rPr>
        <w:t>Oncotarget. 2017 Jun 16;8(44):76085.</w:t>
      </w:r>
    </w:p>
    <w:p w14:paraId="5178F840" w14:textId="77777777" w:rsidR="00D133C3" w:rsidRDefault="00D133C3" w:rsidP="00D133C3">
      <w:pPr>
        <w:pStyle w:val="EndNoteBibliography"/>
        <w:numPr>
          <w:ilvl w:val="0"/>
          <w:numId w:val="13"/>
        </w:numPr>
        <w:bidi w:val="0"/>
        <w:spacing w:after="0"/>
        <w:ind w:left="357" w:hanging="357"/>
        <w:jc w:val="both"/>
        <w:rPr>
          <w:rFonts w:ascii="Times New Roman" w:hAnsi="Times New Roman" w:cs="Times New Roman"/>
          <w:b w:val="0"/>
          <w:bCs/>
          <w:sz w:val="19"/>
          <w:szCs w:val="19"/>
          <w:lang w:val="ru-RU"/>
        </w:rPr>
      </w:pPr>
      <w:r w:rsidRPr="002E1EF1">
        <w:rPr>
          <w:rFonts w:ascii="Times New Roman" w:hAnsi="Times New Roman" w:cs="Times New Roman"/>
          <w:b w:val="0"/>
          <w:bCs/>
          <w:sz w:val="19"/>
          <w:szCs w:val="19"/>
        </w:rPr>
        <w:t xml:space="preserve">Wade M, Li YC, Wahl GM. MDM2, MDMX and p53 in oncogenesis and cancer therapy. </w:t>
      </w:r>
      <w:r w:rsidRPr="002E1EF1">
        <w:rPr>
          <w:rFonts w:ascii="Times New Roman" w:hAnsi="Times New Roman" w:cs="Times New Roman"/>
          <w:b w:val="0"/>
          <w:bCs/>
          <w:sz w:val="19"/>
          <w:szCs w:val="19"/>
          <w:lang w:val="ru-RU"/>
        </w:rPr>
        <w:t>Nature Reviews Cancer. 2013 Feb;13(2):83-96.</w:t>
      </w:r>
    </w:p>
    <w:p w14:paraId="28D88EEF" w14:textId="77777777" w:rsidR="00D133C3" w:rsidRPr="005E64E5" w:rsidRDefault="00D133C3" w:rsidP="00D133C3">
      <w:pPr>
        <w:pStyle w:val="EndNoteBibliography"/>
        <w:numPr>
          <w:ilvl w:val="0"/>
          <w:numId w:val="13"/>
        </w:numPr>
        <w:bidi w:val="0"/>
        <w:spacing w:after="0"/>
        <w:ind w:left="357" w:hanging="357"/>
        <w:jc w:val="both"/>
        <w:rPr>
          <w:rFonts w:ascii="Times New Roman" w:hAnsi="Times New Roman" w:cs="Times New Roman"/>
          <w:b w:val="0"/>
          <w:bCs/>
          <w:sz w:val="19"/>
          <w:szCs w:val="19"/>
        </w:rPr>
      </w:pPr>
      <w:r w:rsidRPr="008E5D4D">
        <w:rPr>
          <w:rFonts w:ascii="Times New Roman" w:hAnsi="Times New Roman" w:cs="Times New Roman"/>
          <w:b w:val="0"/>
          <w:bCs/>
          <w:sz w:val="19"/>
          <w:szCs w:val="19"/>
        </w:rPr>
        <w:t xml:space="preserve">Wang N, </w:t>
      </w:r>
      <w:r w:rsidRPr="005E746C">
        <w:rPr>
          <w:rFonts w:ascii="Times New Roman" w:hAnsi="Times New Roman" w:cs="Times New Roman"/>
          <w:b w:val="0"/>
          <w:bCs/>
          <w:sz w:val="19"/>
          <w:szCs w:val="19"/>
        </w:rPr>
        <w:t>Zhu P, Huang R, Sun L, Dong D, Gao Y. Suppressing TRAP1 sensitizes glioblastoma multiforme cells to temozolomide. Experimental and therapeutic medicine. 2021 Nov;22(5):1246.</w:t>
      </w:r>
    </w:p>
    <w:p w14:paraId="16F03EF1" w14:textId="77777777" w:rsidR="00D133C3" w:rsidRDefault="00D133C3" w:rsidP="00D133C3">
      <w:pPr>
        <w:pStyle w:val="EndNoteBibliography"/>
        <w:numPr>
          <w:ilvl w:val="0"/>
          <w:numId w:val="13"/>
        </w:numPr>
        <w:bidi w:val="0"/>
        <w:spacing w:after="0"/>
        <w:ind w:left="357" w:hanging="357"/>
        <w:jc w:val="both"/>
        <w:rPr>
          <w:rFonts w:ascii="Times New Roman" w:hAnsi="Times New Roman" w:cs="Times New Roman"/>
          <w:b w:val="0"/>
          <w:bCs/>
          <w:sz w:val="19"/>
          <w:szCs w:val="19"/>
        </w:rPr>
      </w:pPr>
      <w:r w:rsidRPr="005E746C">
        <w:rPr>
          <w:rFonts w:ascii="Times New Roman" w:hAnsi="Times New Roman" w:cs="Times New Roman"/>
          <w:b w:val="0"/>
          <w:bCs/>
          <w:sz w:val="19"/>
          <w:szCs w:val="19"/>
        </w:rPr>
        <w:t>Wang H, Guo M, Wei H, Chen Y. Targeting p53 pathways: Mechanisms, structures and advances in therapy. Signal transduction and targeted therapy. 2023 Mar 1;8(1):92.</w:t>
      </w:r>
    </w:p>
    <w:p w14:paraId="60B750DD" w14:textId="77777777" w:rsidR="00D133C3" w:rsidRPr="005E746C" w:rsidRDefault="00D133C3" w:rsidP="00D133C3">
      <w:pPr>
        <w:pStyle w:val="EndNoteBibliography"/>
        <w:numPr>
          <w:ilvl w:val="0"/>
          <w:numId w:val="13"/>
        </w:numPr>
        <w:bidi w:val="0"/>
        <w:spacing w:after="0"/>
        <w:ind w:left="357" w:hanging="357"/>
        <w:jc w:val="both"/>
        <w:rPr>
          <w:rFonts w:ascii="Times New Roman" w:hAnsi="Times New Roman" w:cs="Times New Roman"/>
          <w:b w:val="0"/>
          <w:bCs/>
          <w:sz w:val="19"/>
          <w:szCs w:val="19"/>
        </w:rPr>
      </w:pPr>
      <w:r w:rsidRPr="005E746C">
        <w:rPr>
          <w:rFonts w:ascii="Times New Roman" w:hAnsi="Times New Roman" w:cs="Times New Roman"/>
          <w:b w:val="0"/>
          <w:bCs/>
          <w:sz w:val="19"/>
          <w:szCs w:val="19"/>
        </w:rPr>
        <w:t>Chen Q, Wang W, Chen S, Chen X, Lin Y. miR-29a sensitizes the response of glioma cells to temozolomide by modulating the P53/MDM2 feedback loop. Cellular &amp; molecular biology letters. 2021 Dec;26(1):21.</w:t>
      </w:r>
    </w:p>
    <w:p w14:paraId="73A61A41" w14:textId="77777777" w:rsidR="00D133C3" w:rsidRPr="005E746C" w:rsidRDefault="00D133C3" w:rsidP="00D133C3">
      <w:pPr>
        <w:pStyle w:val="EndNoteBibliography"/>
        <w:numPr>
          <w:ilvl w:val="0"/>
          <w:numId w:val="13"/>
        </w:numPr>
        <w:bidi w:val="0"/>
        <w:spacing w:after="0"/>
        <w:ind w:left="357" w:hanging="357"/>
        <w:jc w:val="both"/>
        <w:rPr>
          <w:rFonts w:ascii="Times New Roman" w:hAnsi="Times New Roman" w:cs="Times New Roman"/>
          <w:b w:val="0"/>
          <w:bCs/>
          <w:sz w:val="19"/>
          <w:szCs w:val="19"/>
        </w:rPr>
      </w:pPr>
      <w:r w:rsidRPr="005E746C">
        <w:rPr>
          <w:rFonts w:ascii="Times New Roman" w:hAnsi="Times New Roman" w:cs="Times New Roman"/>
          <w:b w:val="0"/>
          <w:bCs/>
          <w:sz w:val="19"/>
          <w:szCs w:val="19"/>
        </w:rPr>
        <w:t>Borrero LJ, El-Deiry WS. Tumor suppressor p53: Biology, signaling pathways, and therapeutic targeting. Biochimica et Biophysica Acta (BBA)-Reviews on Cancer. 2021 Aug 1;1876(1):188556.</w:t>
      </w:r>
    </w:p>
    <w:p w14:paraId="464A2600" w14:textId="77777777" w:rsidR="00D133C3" w:rsidRPr="005E746C" w:rsidRDefault="00D133C3" w:rsidP="00D133C3">
      <w:pPr>
        <w:pStyle w:val="EndNoteBibliography"/>
        <w:numPr>
          <w:ilvl w:val="0"/>
          <w:numId w:val="13"/>
        </w:numPr>
        <w:bidi w:val="0"/>
        <w:spacing w:after="0"/>
        <w:ind w:left="357" w:hanging="357"/>
        <w:jc w:val="both"/>
        <w:rPr>
          <w:rFonts w:ascii="Times New Roman" w:hAnsi="Times New Roman" w:cs="Times New Roman"/>
          <w:b w:val="0"/>
          <w:bCs/>
          <w:sz w:val="19"/>
          <w:szCs w:val="19"/>
        </w:rPr>
      </w:pPr>
      <w:r w:rsidRPr="005E746C">
        <w:rPr>
          <w:rFonts w:ascii="Times New Roman" w:hAnsi="Times New Roman" w:cs="Times New Roman"/>
          <w:b w:val="0"/>
          <w:bCs/>
          <w:sz w:val="19"/>
          <w:szCs w:val="19"/>
        </w:rPr>
        <w:t>Sadeghi Z, Malekzadeh M, Sharifi M, Hashemibeni B. The role of miR-16 and miR-34a family in the regulation of cancers: A review. Heliyon. 2025 Feb 28;11(4).</w:t>
      </w:r>
    </w:p>
    <w:p w14:paraId="25A0A78B" w14:textId="77777777" w:rsidR="00D133C3" w:rsidRPr="005E746C" w:rsidRDefault="00D133C3" w:rsidP="00D133C3">
      <w:pPr>
        <w:pStyle w:val="EndNoteBibliography"/>
        <w:numPr>
          <w:ilvl w:val="0"/>
          <w:numId w:val="13"/>
        </w:numPr>
        <w:bidi w:val="0"/>
        <w:spacing w:after="0"/>
        <w:ind w:left="357" w:hanging="357"/>
        <w:jc w:val="both"/>
        <w:rPr>
          <w:rFonts w:ascii="Times New Roman" w:hAnsi="Times New Roman" w:cs="Times New Roman"/>
          <w:b w:val="0"/>
          <w:bCs/>
          <w:sz w:val="19"/>
          <w:szCs w:val="19"/>
        </w:rPr>
      </w:pPr>
      <w:r w:rsidRPr="005E746C">
        <w:rPr>
          <w:rFonts w:ascii="Times New Roman" w:hAnsi="Times New Roman" w:cs="Times New Roman"/>
          <w:b w:val="0"/>
          <w:bCs/>
          <w:sz w:val="19"/>
          <w:szCs w:val="19"/>
        </w:rPr>
        <w:t>Marei HE, Althani A, Afifi N, Hasan A, Caceci T, Pozzoli G, Morrione A, Giordano A, Cenciarelli C. p53 signaling in cancer progression and therapy. Cancer cell international. 2021 Dec 24;21(1):703.</w:t>
      </w:r>
    </w:p>
    <w:p w14:paraId="1F48354C" w14:textId="77777777" w:rsidR="00D133C3" w:rsidRPr="005E746C" w:rsidRDefault="00D133C3" w:rsidP="00D133C3">
      <w:pPr>
        <w:pStyle w:val="EndNoteBibliography"/>
        <w:numPr>
          <w:ilvl w:val="0"/>
          <w:numId w:val="13"/>
        </w:numPr>
        <w:bidi w:val="0"/>
        <w:spacing w:after="0"/>
        <w:ind w:left="357" w:hanging="357"/>
        <w:jc w:val="both"/>
        <w:rPr>
          <w:rFonts w:ascii="Times New Roman" w:hAnsi="Times New Roman" w:cs="Times New Roman"/>
          <w:b w:val="0"/>
          <w:bCs/>
          <w:sz w:val="19"/>
          <w:szCs w:val="19"/>
        </w:rPr>
      </w:pPr>
      <w:r w:rsidRPr="005E746C">
        <w:rPr>
          <w:rFonts w:ascii="Times New Roman" w:hAnsi="Times New Roman" w:cs="Times New Roman"/>
          <w:b w:val="0"/>
          <w:bCs/>
          <w:sz w:val="19"/>
          <w:szCs w:val="19"/>
        </w:rPr>
        <w:t>Foumani EA, Irani S, Shokoohinia Y, Mostafaie A. Colchicine of colchicum autumnale, a traditional anti-inflammatory medicine, induces apoptosis by activation of apoptotic genes and proteins expression in human breast (MCF-7) and mouse breast (4T1) cell lines. Cell Journal (Yakhteh). 2022 Nov 2;24(11):647.</w:t>
      </w:r>
    </w:p>
    <w:p w14:paraId="3031681F" w14:textId="77777777" w:rsidR="00D133C3" w:rsidRPr="005E746C" w:rsidRDefault="00D133C3" w:rsidP="00D133C3">
      <w:pPr>
        <w:pStyle w:val="EndNoteBibliography"/>
        <w:numPr>
          <w:ilvl w:val="0"/>
          <w:numId w:val="13"/>
        </w:numPr>
        <w:bidi w:val="0"/>
        <w:spacing w:after="0"/>
        <w:ind w:left="357" w:hanging="357"/>
        <w:jc w:val="both"/>
        <w:rPr>
          <w:rFonts w:ascii="Times New Roman" w:hAnsi="Times New Roman" w:cs="Times New Roman"/>
          <w:b w:val="0"/>
          <w:bCs/>
          <w:sz w:val="19"/>
          <w:szCs w:val="19"/>
        </w:rPr>
      </w:pPr>
      <w:r w:rsidRPr="005E746C">
        <w:rPr>
          <w:rFonts w:ascii="Times New Roman" w:hAnsi="Times New Roman" w:cs="Times New Roman"/>
          <w:b w:val="0"/>
          <w:bCs/>
          <w:sz w:val="19"/>
          <w:szCs w:val="19"/>
        </w:rPr>
        <w:t>Byeon SE, Lee YG, Kim JC, Han JG, Lee HY, Cho JY. Hinokitiol, a natural tropolone derivative, inhibits TNF-α production in LPS-activated macrophages via suppression of NF-κB. Planta medica. 2008 Jun;74(08):828-33.</w:t>
      </w:r>
    </w:p>
    <w:p w14:paraId="727439FC" w14:textId="77777777" w:rsidR="00D133C3" w:rsidRPr="005E746C" w:rsidRDefault="00D133C3" w:rsidP="00D133C3">
      <w:pPr>
        <w:pStyle w:val="EndNoteBibliography"/>
        <w:numPr>
          <w:ilvl w:val="0"/>
          <w:numId w:val="13"/>
        </w:numPr>
        <w:bidi w:val="0"/>
        <w:spacing w:after="0"/>
        <w:ind w:left="357" w:hanging="357"/>
        <w:jc w:val="both"/>
        <w:rPr>
          <w:rFonts w:ascii="Times New Roman" w:hAnsi="Times New Roman" w:cs="Times New Roman"/>
          <w:b w:val="0"/>
          <w:bCs/>
          <w:sz w:val="19"/>
          <w:szCs w:val="19"/>
        </w:rPr>
      </w:pPr>
      <w:r w:rsidRPr="005E746C">
        <w:rPr>
          <w:rFonts w:ascii="Times New Roman" w:hAnsi="Times New Roman" w:cs="Times New Roman"/>
          <w:b w:val="0"/>
          <w:bCs/>
          <w:sz w:val="19"/>
          <w:szCs w:val="19"/>
        </w:rPr>
        <w:t>Jayab NA, Abed A, Talaat IM, Hamoudi R. The molecular mechanism of NF-κB dysregulation across different subtypes of renal cell carcinoma. Journal of Advanced Research. 2025 Jun 1;72:501-14.</w:t>
      </w:r>
    </w:p>
    <w:p w14:paraId="1EDDCA81" w14:textId="77777777" w:rsidR="00D133C3" w:rsidRPr="00D133C3" w:rsidRDefault="00D133C3" w:rsidP="00D133C3">
      <w:pPr>
        <w:pStyle w:val="EndNoteBibliography"/>
        <w:numPr>
          <w:ilvl w:val="0"/>
          <w:numId w:val="13"/>
        </w:numPr>
        <w:bidi w:val="0"/>
        <w:spacing w:after="0"/>
        <w:ind w:left="357" w:hanging="357"/>
        <w:jc w:val="both"/>
        <w:rPr>
          <w:rFonts w:ascii="Times New Roman" w:hAnsi="Times New Roman" w:cs="Times New Roman"/>
          <w:b w:val="0"/>
          <w:bCs/>
          <w:sz w:val="19"/>
          <w:szCs w:val="19"/>
        </w:rPr>
      </w:pPr>
      <w:r w:rsidRPr="005E746C">
        <w:rPr>
          <w:rFonts w:ascii="Times New Roman" w:hAnsi="Times New Roman" w:cs="Times New Roman"/>
          <w:b w:val="0"/>
          <w:bCs/>
          <w:sz w:val="19"/>
          <w:szCs w:val="19"/>
        </w:rPr>
        <w:t xml:space="preserve">Komarova EF, Lukbanova EA, Dzhenkova EA, Goncharova AS, Zaikina EV, Gurova SV, Galina AV, Kurbanova LZ, Mindar MV, Khodakova DV, Gusareva MA. Immunohistochemical assessment of possible anticancer effect mechanisms of 2-(6,8-dimethyl-5-nitro-4chloroquinoline-2-yl)-5,6,7-trichloro-1,3-tropolone in PDX models of lung cancer. South </w:t>
      </w:r>
      <w:r w:rsidRPr="00D133C3">
        <w:rPr>
          <w:rFonts w:ascii="Times New Roman" w:hAnsi="Times New Roman" w:cs="Times New Roman"/>
          <w:b w:val="0"/>
          <w:bCs/>
          <w:sz w:val="19"/>
          <w:szCs w:val="19"/>
        </w:rPr>
        <w:t>Russian Journal of Cancer. 2023;4(1 (eng)):6-13.</w:t>
      </w:r>
    </w:p>
    <w:p w14:paraId="111BD011" w14:textId="6B0AF820" w:rsidR="005E746C" w:rsidRPr="00D133C3" w:rsidRDefault="00D133C3" w:rsidP="00D133C3">
      <w:pPr>
        <w:pStyle w:val="EndNoteBibliography"/>
        <w:numPr>
          <w:ilvl w:val="0"/>
          <w:numId w:val="13"/>
        </w:numPr>
        <w:bidi w:val="0"/>
        <w:spacing w:after="0"/>
        <w:ind w:left="357" w:hanging="357"/>
        <w:jc w:val="both"/>
        <w:rPr>
          <w:rFonts w:ascii="Times New Roman" w:hAnsi="Times New Roman" w:cs="Times New Roman"/>
          <w:b w:val="0"/>
          <w:bCs/>
          <w:sz w:val="19"/>
          <w:szCs w:val="19"/>
        </w:rPr>
      </w:pPr>
      <w:r w:rsidRPr="00D133C3">
        <w:rPr>
          <w:rFonts w:ascii="Times New Roman" w:hAnsi="Times New Roman" w:cs="Times New Roman"/>
          <w:b w:val="0"/>
          <w:bCs/>
          <w:sz w:val="19"/>
          <w:szCs w:val="19"/>
        </w:rPr>
        <w:t>Lee YS, Choi KM, Kim W, Jeon YS, Lee YM, Hong JT, Yun YP, Yoo HS. Hinokitiol inhibits cell growth through induction of S-phase arrest and apoptosis in human colon cancer cells and suppresses tumor growth in a mouse xenograft experiment. Journal of natural products. 2013 Dec 27;76(12):2195-202.</w:t>
      </w:r>
    </w:p>
    <w:p w14:paraId="483F48D7" w14:textId="77777777" w:rsidR="00D133C3" w:rsidRPr="00D133C3" w:rsidRDefault="00D133C3" w:rsidP="00D133C3">
      <w:pPr>
        <w:widowControl w:val="0"/>
        <w:spacing w:after="0" w:line="240" w:lineRule="auto"/>
        <w:jc w:val="center"/>
        <w:rPr>
          <w:rStyle w:val="docsum-authors"/>
          <w:rFonts w:ascii="Times New Roman" w:eastAsia="Times New Roman" w:hAnsi="Times New Roman" w:cs="Times New Roman"/>
          <w:b/>
          <w:bCs/>
          <w:color w:val="000000" w:themeColor="text1"/>
          <w:sz w:val="24"/>
          <w:szCs w:val="24"/>
        </w:rPr>
      </w:pPr>
    </w:p>
    <w:p w14:paraId="71CBD23C" w14:textId="6FC26EA6" w:rsidR="008425DA" w:rsidRPr="00D133C3" w:rsidRDefault="008425DA" w:rsidP="008425DA">
      <w:pPr>
        <w:widowControl w:val="0"/>
        <w:spacing w:after="0" w:line="240" w:lineRule="auto"/>
        <w:jc w:val="center"/>
        <w:rPr>
          <w:rStyle w:val="docsum-authors"/>
          <w:rFonts w:ascii="Times New Roman" w:eastAsia="Times New Roman" w:hAnsi="Times New Roman" w:cs="Times New Roman"/>
          <w:b/>
          <w:bCs/>
          <w:color w:val="000000" w:themeColor="text1"/>
          <w:sz w:val="24"/>
          <w:szCs w:val="24"/>
        </w:rPr>
      </w:pPr>
      <w:r w:rsidRPr="00D133C3">
        <w:rPr>
          <w:rStyle w:val="docsum-authors"/>
          <w:rFonts w:ascii="Times New Roman" w:eastAsia="Times New Roman" w:hAnsi="Times New Roman" w:cs="Times New Roman"/>
          <w:b/>
          <w:bCs/>
          <w:color w:val="000000" w:themeColor="text1"/>
          <w:sz w:val="24"/>
          <w:szCs w:val="24"/>
        </w:rPr>
        <w:t>FIGURES AND TABLES</w:t>
      </w:r>
    </w:p>
    <w:p w14:paraId="366450C2" w14:textId="77777777" w:rsidR="008E02A7" w:rsidRPr="00D133C3" w:rsidRDefault="008E02A7" w:rsidP="008E02A7">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Table 1. Primer sequences used in RT-qPCR</w:t>
      </w:r>
    </w:p>
    <w:tbl>
      <w:tblPr>
        <w:tblStyle w:val="af7"/>
        <w:tblW w:w="0" w:type="auto"/>
        <w:tblLook w:val="04A0" w:firstRow="1" w:lastRow="0" w:firstColumn="1" w:lastColumn="0" w:noHBand="0" w:noVBand="1"/>
      </w:tblPr>
      <w:tblGrid>
        <w:gridCol w:w="3007"/>
        <w:gridCol w:w="3305"/>
        <w:gridCol w:w="3317"/>
      </w:tblGrid>
      <w:tr w:rsidR="008E02A7" w:rsidRPr="00D133C3" w14:paraId="3CF01E7E" w14:textId="77777777" w:rsidTr="00042FD5">
        <w:tc>
          <w:tcPr>
            <w:tcW w:w="3209" w:type="dxa"/>
          </w:tcPr>
          <w:p w14:paraId="417AE995" w14:textId="77777777" w:rsidR="008E02A7" w:rsidRPr="00D133C3" w:rsidRDefault="008E02A7" w:rsidP="00042FD5">
            <w:pPr>
              <w:widowControl w:val="0"/>
              <w:spacing w:after="0" w:line="240" w:lineRule="auto"/>
              <w:rPr>
                <w:rFonts w:ascii="Times New Roman" w:hAnsi="Times New Roman" w:cs="Times New Roman"/>
                <w:bCs/>
                <w:color w:val="000000" w:themeColor="text1"/>
                <w:sz w:val="20"/>
                <w:szCs w:val="20"/>
                <w:lang w:bidi="fa-IR"/>
              </w:rPr>
            </w:pPr>
            <w:r w:rsidRPr="00D133C3">
              <w:rPr>
                <w:rFonts w:ascii="Times New Roman" w:hAnsi="Times New Roman" w:cs="Times New Roman"/>
                <w:bCs/>
                <w:color w:val="000000" w:themeColor="text1"/>
                <w:sz w:val="20"/>
                <w:szCs w:val="20"/>
                <w:lang w:bidi="fa-IR"/>
              </w:rPr>
              <w:t>Gene</w:t>
            </w:r>
          </w:p>
        </w:tc>
        <w:tc>
          <w:tcPr>
            <w:tcW w:w="3210" w:type="dxa"/>
          </w:tcPr>
          <w:p w14:paraId="235FE16E" w14:textId="77777777" w:rsidR="008E02A7" w:rsidRPr="00D133C3" w:rsidRDefault="008E02A7" w:rsidP="00042FD5">
            <w:pPr>
              <w:widowControl w:val="0"/>
              <w:spacing w:after="0" w:line="240" w:lineRule="auto"/>
              <w:rPr>
                <w:rFonts w:ascii="Times New Roman" w:hAnsi="Times New Roman" w:cs="Times New Roman"/>
                <w:bCs/>
                <w:color w:val="000000" w:themeColor="text1"/>
                <w:sz w:val="20"/>
                <w:szCs w:val="20"/>
                <w:lang w:bidi="fa-IR"/>
              </w:rPr>
            </w:pPr>
            <w:r w:rsidRPr="00D133C3">
              <w:rPr>
                <w:rFonts w:ascii="Times New Roman" w:hAnsi="Times New Roman" w:cs="Times New Roman"/>
                <w:bCs/>
                <w:color w:val="000000" w:themeColor="text1"/>
                <w:sz w:val="20"/>
                <w:szCs w:val="20"/>
                <w:lang w:bidi="fa-IR"/>
              </w:rPr>
              <w:t>Forward primer sequence</w:t>
            </w:r>
          </w:p>
        </w:tc>
        <w:tc>
          <w:tcPr>
            <w:tcW w:w="3210" w:type="dxa"/>
          </w:tcPr>
          <w:p w14:paraId="30580CCF" w14:textId="77777777" w:rsidR="008E02A7" w:rsidRPr="00D133C3" w:rsidRDefault="008E02A7" w:rsidP="00042FD5">
            <w:pPr>
              <w:widowControl w:val="0"/>
              <w:spacing w:after="0" w:line="240" w:lineRule="auto"/>
              <w:rPr>
                <w:rFonts w:ascii="Times New Roman" w:hAnsi="Times New Roman" w:cs="Times New Roman"/>
                <w:bCs/>
                <w:color w:val="000000" w:themeColor="text1"/>
                <w:sz w:val="20"/>
                <w:szCs w:val="20"/>
                <w:lang w:bidi="fa-IR"/>
              </w:rPr>
            </w:pPr>
            <w:r w:rsidRPr="00D133C3">
              <w:rPr>
                <w:rFonts w:ascii="Times New Roman" w:hAnsi="Times New Roman" w:cs="Times New Roman"/>
                <w:bCs/>
                <w:color w:val="000000" w:themeColor="text1"/>
                <w:sz w:val="20"/>
                <w:szCs w:val="20"/>
                <w:lang w:bidi="fa-IR"/>
              </w:rPr>
              <w:t>Reverse primer sequence</w:t>
            </w:r>
          </w:p>
        </w:tc>
      </w:tr>
      <w:tr w:rsidR="008E02A7" w:rsidRPr="00D133C3" w14:paraId="01150047" w14:textId="77777777" w:rsidTr="00042FD5">
        <w:tc>
          <w:tcPr>
            <w:tcW w:w="3209" w:type="dxa"/>
          </w:tcPr>
          <w:p w14:paraId="62CE9193" w14:textId="77777777" w:rsidR="008E02A7" w:rsidRPr="00D133C3" w:rsidRDefault="008E02A7" w:rsidP="00042FD5">
            <w:pPr>
              <w:widowControl w:val="0"/>
              <w:spacing w:after="0" w:line="240" w:lineRule="auto"/>
              <w:rPr>
                <w:rFonts w:ascii="Times New Roman" w:hAnsi="Times New Roman" w:cs="Times New Roman"/>
                <w:bCs/>
                <w:i/>
                <w:color w:val="000000" w:themeColor="text1"/>
                <w:sz w:val="20"/>
                <w:szCs w:val="20"/>
                <w:lang w:bidi="fa-IR"/>
              </w:rPr>
            </w:pPr>
            <w:r w:rsidRPr="00D133C3">
              <w:rPr>
                <w:rFonts w:ascii="Times New Roman" w:hAnsi="Times New Roman" w:cs="Times New Roman"/>
                <w:i/>
                <w:sz w:val="20"/>
                <w:szCs w:val="20"/>
              </w:rPr>
              <w:t>TP53</w:t>
            </w:r>
          </w:p>
        </w:tc>
        <w:tc>
          <w:tcPr>
            <w:tcW w:w="3210" w:type="dxa"/>
          </w:tcPr>
          <w:p w14:paraId="29B3B162" w14:textId="77777777" w:rsidR="008E02A7" w:rsidRPr="00D133C3" w:rsidRDefault="008E02A7" w:rsidP="00042FD5">
            <w:pPr>
              <w:widowControl w:val="0"/>
              <w:spacing w:after="0" w:line="240" w:lineRule="auto"/>
              <w:rPr>
                <w:rFonts w:ascii="Times New Roman" w:hAnsi="Times New Roman" w:cs="Times New Roman"/>
                <w:bCs/>
                <w:color w:val="000000" w:themeColor="text1"/>
                <w:sz w:val="20"/>
                <w:szCs w:val="20"/>
                <w:lang w:bidi="fa-IR"/>
              </w:rPr>
            </w:pPr>
            <w:r w:rsidRPr="00D133C3">
              <w:rPr>
                <w:rFonts w:ascii="Times New Roman" w:hAnsi="Times New Roman" w:cs="Times New Roman"/>
                <w:sz w:val="20"/>
                <w:szCs w:val="20"/>
              </w:rPr>
              <w:t>ACCCTCTGACCTTTTTCCCA</w:t>
            </w:r>
          </w:p>
        </w:tc>
        <w:tc>
          <w:tcPr>
            <w:tcW w:w="3210" w:type="dxa"/>
          </w:tcPr>
          <w:p w14:paraId="6DA8D58A" w14:textId="77777777" w:rsidR="008E02A7" w:rsidRPr="00D133C3" w:rsidRDefault="008E02A7" w:rsidP="00042FD5">
            <w:pPr>
              <w:widowControl w:val="0"/>
              <w:spacing w:after="0" w:line="240" w:lineRule="auto"/>
              <w:rPr>
                <w:rFonts w:ascii="Times New Roman" w:hAnsi="Times New Roman" w:cs="Times New Roman"/>
                <w:bCs/>
                <w:color w:val="000000" w:themeColor="text1"/>
                <w:sz w:val="20"/>
                <w:szCs w:val="20"/>
                <w:lang w:bidi="fa-IR"/>
              </w:rPr>
            </w:pPr>
            <w:r w:rsidRPr="00D133C3">
              <w:rPr>
                <w:rFonts w:ascii="Times New Roman" w:hAnsi="Times New Roman" w:cs="Times New Roman"/>
                <w:sz w:val="20"/>
                <w:szCs w:val="20"/>
              </w:rPr>
              <w:t>TGCTGGGATCTTAGGCACTC</w:t>
            </w:r>
          </w:p>
        </w:tc>
      </w:tr>
      <w:tr w:rsidR="008E02A7" w:rsidRPr="00D133C3" w14:paraId="757A3154" w14:textId="77777777" w:rsidTr="00042FD5">
        <w:tc>
          <w:tcPr>
            <w:tcW w:w="3209" w:type="dxa"/>
          </w:tcPr>
          <w:p w14:paraId="1DB86210" w14:textId="77777777" w:rsidR="008E02A7" w:rsidRPr="00D133C3" w:rsidRDefault="008E02A7" w:rsidP="00042FD5">
            <w:pPr>
              <w:widowControl w:val="0"/>
              <w:spacing w:after="0" w:line="240" w:lineRule="auto"/>
              <w:rPr>
                <w:rFonts w:ascii="Times New Roman" w:hAnsi="Times New Roman" w:cs="Times New Roman"/>
                <w:bCs/>
                <w:i/>
                <w:color w:val="000000" w:themeColor="text1"/>
                <w:sz w:val="20"/>
                <w:szCs w:val="20"/>
                <w:lang w:bidi="fa-IR"/>
              </w:rPr>
            </w:pPr>
            <w:r w:rsidRPr="00D133C3">
              <w:rPr>
                <w:rFonts w:ascii="Times New Roman" w:hAnsi="Times New Roman" w:cs="Times New Roman"/>
                <w:i/>
                <w:sz w:val="20"/>
                <w:szCs w:val="20"/>
              </w:rPr>
              <w:t>MDM2</w:t>
            </w:r>
          </w:p>
        </w:tc>
        <w:tc>
          <w:tcPr>
            <w:tcW w:w="3210" w:type="dxa"/>
          </w:tcPr>
          <w:p w14:paraId="4596B11E" w14:textId="77777777" w:rsidR="008E02A7" w:rsidRPr="00D133C3" w:rsidRDefault="008E02A7" w:rsidP="00042FD5">
            <w:pPr>
              <w:widowControl w:val="0"/>
              <w:spacing w:after="0" w:line="240" w:lineRule="auto"/>
              <w:rPr>
                <w:rFonts w:ascii="Times New Roman" w:hAnsi="Times New Roman" w:cs="Times New Roman"/>
                <w:bCs/>
                <w:color w:val="000000" w:themeColor="text1"/>
                <w:sz w:val="20"/>
                <w:szCs w:val="20"/>
                <w:lang w:bidi="fa-IR"/>
              </w:rPr>
            </w:pPr>
            <w:r w:rsidRPr="00D133C3">
              <w:rPr>
                <w:rFonts w:ascii="Times New Roman" w:hAnsi="Times New Roman" w:cs="Times New Roman"/>
                <w:sz w:val="20"/>
                <w:szCs w:val="20"/>
              </w:rPr>
              <w:t>ACCCTGGTTAGACCAAAGCC</w:t>
            </w:r>
          </w:p>
        </w:tc>
        <w:tc>
          <w:tcPr>
            <w:tcW w:w="3210" w:type="dxa"/>
          </w:tcPr>
          <w:p w14:paraId="41159ECF" w14:textId="77777777" w:rsidR="008E02A7" w:rsidRPr="00D133C3" w:rsidRDefault="008E02A7" w:rsidP="00042FD5">
            <w:pPr>
              <w:widowControl w:val="0"/>
              <w:spacing w:after="0" w:line="240" w:lineRule="auto"/>
              <w:rPr>
                <w:rFonts w:ascii="Times New Roman" w:hAnsi="Times New Roman" w:cs="Times New Roman"/>
                <w:bCs/>
                <w:color w:val="000000" w:themeColor="text1"/>
                <w:sz w:val="20"/>
                <w:szCs w:val="20"/>
                <w:lang w:bidi="fa-IR"/>
              </w:rPr>
            </w:pPr>
            <w:r w:rsidRPr="00D133C3">
              <w:rPr>
                <w:rFonts w:ascii="Times New Roman" w:hAnsi="Times New Roman" w:cs="Times New Roman"/>
                <w:sz w:val="20"/>
                <w:szCs w:val="20"/>
              </w:rPr>
              <w:t>TGGCACGCCAAACAAATCTC</w:t>
            </w:r>
          </w:p>
        </w:tc>
      </w:tr>
      <w:tr w:rsidR="008E02A7" w:rsidRPr="00D133C3" w14:paraId="7039B993" w14:textId="77777777" w:rsidTr="00042FD5">
        <w:tc>
          <w:tcPr>
            <w:tcW w:w="3209" w:type="dxa"/>
          </w:tcPr>
          <w:p w14:paraId="6BC36451" w14:textId="77777777" w:rsidR="008E02A7" w:rsidRPr="00D133C3" w:rsidRDefault="008E02A7" w:rsidP="00042FD5">
            <w:pPr>
              <w:widowControl w:val="0"/>
              <w:spacing w:after="0" w:line="240" w:lineRule="auto"/>
              <w:rPr>
                <w:rFonts w:ascii="Times New Roman" w:hAnsi="Times New Roman" w:cs="Times New Roman"/>
                <w:bCs/>
                <w:i/>
                <w:color w:val="000000" w:themeColor="text1"/>
                <w:sz w:val="20"/>
                <w:szCs w:val="20"/>
                <w:lang w:bidi="fa-IR"/>
              </w:rPr>
            </w:pPr>
            <w:r w:rsidRPr="00D133C3">
              <w:rPr>
                <w:rFonts w:ascii="Times New Roman" w:hAnsi="Times New Roman" w:cs="Times New Roman"/>
                <w:i/>
                <w:sz w:val="20"/>
                <w:szCs w:val="20"/>
              </w:rPr>
              <w:t>BAX</w:t>
            </w:r>
          </w:p>
        </w:tc>
        <w:tc>
          <w:tcPr>
            <w:tcW w:w="3210" w:type="dxa"/>
          </w:tcPr>
          <w:p w14:paraId="41EC5A8E" w14:textId="77777777" w:rsidR="008E02A7" w:rsidRPr="00D133C3" w:rsidRDefault="008E02A7" w:rsidP="00042FD5">
            <w:pPr>
              <w:widowControl w:val="0"/>
              <w:spacing w:after="0" w:line="240" w:lineRule="auto"/>
              <w:rPr>
                <w:rFonts w:ascii="Times New Roman" w:hAnsi="Times New Roman" w:cs="Times New Roman"/>
                <w:bCs/>
                <w:color w:val="000000" w:themeColor="text1"/>
                <w:sz w:val="20"/>
                <w:szCs w:val="20"/>
                <w:lang w:bidi="fa-IR"/>
              </w:rPr>
            </w:pPr>
            <w:r w:rsidRPr="00D133C3">
              <w:rPr>
                <w:rFonts w:ascii="Times New Roman" w:hAnsi="Times New Roman" w:cs="Times New Roman"/>
                <w:sz w:val="20"/>
                <w:szCs w:val="20"/>
              </w:rPr>
              <w:t>TGGCAGCTGACATGTTTTCTGAC</w:t>
            </w:r>
          </w:p>
        </w:tc>
        <w:tc>
          <w:tcPr>
            <w:tcW w:w="3210" w:type="dxa"/>
          </w:tcPr>
          <w:p w14:paraId="235ADF6A" w14:textId="77777777" w:rsidR="008E02A7" w:rsidRPr="00D133C3" w:rsidRDefault="008E02A7" w:rsidP="00042FD5">
            <w:pPr>
              <w:widowControl w:val="0"/>
              <w:spacing w:after="0" w:line="240" w:lineRule="auto"/>
              <w:rPr>
                <w:rFonts w:ascii="Times New Roman" w:hAnsi="Times New Roman" w:cs="Times New Roman"/>
                <w:bCs/>
                <w:color w:val="000000" w:themeColor="text1"/>
                <w:sz w:val="20"/>
                <w:szCs w:val="20"/>
                <w:lang w:bidi="fa-IR"/>
              </w:rPr>
            </w:pPr>
            <w:r w:rsidRPr="00D133C3">
              <w:rPr>
                <w:rFonts w:ascii="Times New Roman" w:hAnsi="Times New Roman" w:cs="Times New Roman"/>
                <w:sz w:val="20"/>
                <w:szCs w:val="20"/>
              </w:rPr>
              <w:t>TCACCCAACCACCCTGGTCTT</w:t>
            </w:r>
          </w:p>
        </w:tc>
      </w:tr>
      <w:tr w:rsidR="008E02A7" w:rsidRPr="00D133C3" w14:paraId="5AFED7B5" w14:textId="77777777" w:rsidTr="00042FD5">
        <w:tc>
          <w:tcPr>
            <w:tcW w:w="3209" w:type="dxa"/>
          </w:tcPr>
          <w:p w14:paraId="719134F6" w14:textId="77777777" w:rsidR="008E02A7" w:rsidRPr="00D133C3" w:rsidRDefault="008E02A7" w:rsidP="00042FD5">
            <w:pPr>
              <w:widowControl w:val="0"/>
              <w:spacing w:after="0" w:line="240" w:lineRule="auto"/>
              <w:rPr>
                <w:rFonts w:ascii="Times New Roman" w:hAnsi="Times New Roman" w:cs="Times New Roman"/>
                <w:bCs/>
                <w:i/>
                <w:color w:val="000000" w:themeColor="text1"/>
                <w:sz w:val="20"/>
                <w:szCs w:val="20"/>
                <w:lang w:bidi="fa-IR"/>
              </w:rPr>
            </w:pPr>
            <w:r w:rsidRPr="00D133C3">
              <w:rPr>
                <w:rFonts w:ascii="Times New Roman" w:hAnsi="Times New Roman" w:cs="Times New Roman"/>
                <w:i/>
                <w:sz w:val="20"/>
                <w:szCs w:val="20"/>
              </w:rPr>
              <w:t>BCL2</w:t>
            </w:r>
          </w:p>
        </w:tc>
        <w:tc>
          <w:tcPr>
            <w:tcW w:w="3210" w:type="dxa"/>
          </w:tcPr>
          <w:p w14:paraId="6AA9A53F" w14:textId="77777777" w:rsidR="008E02A7" w:rsidRPr="00D133C3" w:rsidRDefault="008E02A7" w:rsidP="00042FD5">
            <w:pPr>
              <w:widowControl w:val="0"/>
              <w:spacing w:after="0" w:line="240" w:lineRule="auto"/>
              <w:rPr>
                <w:rFonts w:ascii="Times New Roman" w:hAnsi="Times New Roman" w:cs="Times New Roman"/>
                <w:bCs/>
                <w:color w:val="000000" w:themeColor="text1"/>
                <w:sz w:val="20"/>
                <w:szCs w:val="20"/>
                <w:lang w:bidi="fa-IR"/>
              </w:rPr>
            </w:pPr>
            <w:r w:rsidRPr="00D133C3">
              <w:rPr>
                <w:rFonts w:ascii="Times New Roman" w:hAnsi="Times New Roman" w:cs="Times New Roman"/>
                <w:sz w:val="20"/>
                <w:szCs w:val="20"/>
              </w:rPr>
              <w:t>TCGCCCTGTGGATGACTGA</w:t>
            </w:r>
          </w:p>
        </w:tc>
        <w:tc>
          <w:tcPr>
            <w:tcW w:w="3210" w:type="dxa"/>
          </w:tcPr>
          <w:p w14:paraId="093540AD" w14:textId="77777777" w:rsidR="008E02A7" w:rsidRPr="00D133C3" w:rsidRDefault="008E02A7" w:rsidP="00042FD5">
            <w:pPr>
              <w:widowControl w:val="0"/>
              <w:spacing w:after="0" w:line="240" w:lineRule="auto"/>
              <w:rPr>
                <w:rFonts w:ascii="Times New Roman" w:hAnsi="Times New Roman" w:cs="Times New Roman"/>
                <w:bCs/>
                <w:color w:val="000000" w:themeColor="text1"/>
                <w:sz w:val="20"/>
                <w:szCs w:val="20"/>
                <w:lang w:bidi="fa-IR"/>
              </w:rPr>
            </w:pPr>
            <w:r w:rsidRPr="00D133C3">
              <w:rPr>
                <w:rFonts w:ascii="Times New Roman" w:hAnsi="Times New Roman" w:cs="Times New Roman"/>
                <w:sz w:val="20"/>
                <w:szCs w:val="20"/>
              </w:rPr>
              <w:t>CAGAGACAGCCAGGAGAAATCA</w:t>
            </w:r>
          </w:p>
        </w:tc>
      </w:tr>
      <w:tr w:rsidR="008E02A7" w:rsidRPr="00D133C3" w14:paraId="784FD7C3" w14:textId="77777777" w:rsidTr="00042FD5">
        <w:tc>
          <w:tcPr>
            <w:tcW w:w="3209" w:type="dxa"/>
          </w:tcPr>
          <w:p w14:paraId="7DA610B1" w14:textId="77777777" w:rsidR="008E02A7" w:rsidRPr="00D133C3" w:rsidRDefault="008E02A7" w:rsidP="00042FD5">
            <w:pPr>
              <w:widowControl w:val="0"/>
              <w:spacing w:after="0" w:line="240" w:lineRule="auto"/>
              <w:rPr>
                <w:rFonts w:ascii="Times New Roman" w:hAnsi="Times New Roman" w:cs="Times New Roman"/>
                <w:bCs/>
                <w:i/>
                <w:color w:val="000000" w:themeColor="text1"/>
                <w:sz w:val="20"/>
                <w:szCs w:val="20"/>
                <w:lang w:bidi="fa-IR"/>
              </w:rPr>
            </w:pPr>
            <w:r w:rsidRPr="00D133C3">
              <w:rPr>
                <w:rFonts w:ascii="Times New Roman" w:hAnsi="Times New Roman" w:cs="Times New Roman"/>
                <w:i/>
                <w:sz w:val="20"/>
                <w:szCs w:val="20"/>
              </w:rPr>
              <w:t>CASP9</w:t>
            </w:r>
          </w:p>
        </w:tc>
        <w:tc>
          <w:tcPr>
            <w:tcW w:w="3210" w:type="dxa"/>
          </w:tcPr>
          <w:p w14:paraId="66DB639D" w14:textId="77777777" w:rsidR="008E02A7" w:rsidRPr="00D133C3" w:rsidRDefault="008E02A7" w:rsidP="00042FD5">
            <w:pPr>
              <w:widowControl w:val="0"/>
              <w:spacing w:after="0" w:line="240" w:lineRule="auto"/>
              <w:rPr>
                <w:rFonts w:ascii="Times New Roman" w:hAnsi="Times New Roman" w:cs="Times New Roman"/>
                <w:bCs/>
                <w:color w:val="000000" w:themeColor="text1"/>
                <w:sz w:val="20"/>
                <w:szCs w:val="20"/>
                <w:lang w:bidi="fa-IR"/>
              </w:rPr>
            </w:pPr>
            <w:r w:rsidRPr="00D133C3">
              <w:rPr>
                <w:rFonts w:ascii="Times New Roman" w:hAnsi="Times New Roman" w:cs="Times New Roman"/>
                <w:sz w:val="20"/>
                <w:szCs w:val="20"/>
              </w:rPr>
              <w:t>CTCTACTTTCCCAGGTTT</w:t>
            </w:r>
          </w:p>
        </w:tc>
        <w:tc>
          <w:tcPr>
            <w:tcW w:w="3210" w:type="dxa"/>
          </w:tcPr>
          <w:p w14:paraId="09896E0E" w14:textId="77777777" w:rsidR="008E02A7" w:rsidRPr="00D133C3" w:rsidRDefault="008E02A7" w:rsidP="00042FD5">
            <w:pPr>
              <w:widowControl w:val="0"/>
              <w:spacing w:after="0" w:line="240" w:lineRule="auto"/>
              <w:rPr>
                <w:rFonts w:ascii="Times New Roman" w:hAnsi="Times New Roman" w:cs="Times New Roman"/>
                <w:bCs/>
                <w:color w:val="000000" w:themeColor="text1"/>
                <w:sz w:val="20"/>
                <w:szCs w:val="20"/>
                <w:lang w:bidi="fa-IR"/>
              </w:rPr>
            </w:pPr>
            <w:r w:rsidRPr="00D133C3">
              <w:rPr>
                <w:rFonts w:ascii="Times New Roman" w:hAnsi="Times New Roman" w:cs="Times New Roman"/>
                <w:sz w:val="20"/>
                <w:szCs w:val="20"/>
              </w:rPr>
              <w:t>TTTCACCGAAACAGCATT</w:t>
            </w:r>
          </w:p>
        </w:tc>
      </w:tr>
    </w:tbl>
    <w:p w14:paraId="4E9C95EE" w14:textId="1D28921C" w:rsidR="00F44208" w:rsidRPr="00D133C3" w:rsidRDefault="00F44208" w:rsidP="00163EC7">
      <w:pPr>
        <w:widowControl w:val="0"/>
        <w:spacing w:after="0" w:line="240" w:lineRule="auto"/>
        <w:jc w:val="center"/>
        <w:rPr>
          <w:rFonts w:ascii="Times New Roman" w:hAnsi="Times New Roman" w:cs="Times New Roman"/>
          <w:bCs/>
          <w:sz w:val="24"/>
          <w:szCs w:val="24"/>
        </w:rPr>
      </w:pPr>
    </w:p>
    <w:p w14:paraId="2BA196A1" w14:textId="28F70A76" w:rsidR="005A2606" w:rsidRPr="00D133C3" w:rsidRDefault="005A2606" w:rsidP="006A0CD1">
      <w:pPr>
        <w:widowControl w:val="0"/>
        <w:spacing w:after="0" w:line="240" w:lineRule="auto"/>
        <w:jc w:val="both"/>
        <w:rPr>
          <w:rFonts w:ascii="Times New Roman" w:hAnsi="Times New Roman" w:cs="Times New Roman"/>
          <w:bCs/>
          <w:sz w:val="24"/>
          <w:szCs w:val="24"/>
        </w:rPr>
      </w:pPr>
      <w:r w:rsidRPr="00D133C3">
        <w:rPr>
          <w:rFonts w:ascii="Times New Roman" w:hAnsi="Times New Roman" w:cs="Times New Roman"/>
          <w:bCs/>
          <w:noProof/>
          <w:sz w:val="24"/>
          <w:szCs w:val="24"/>
          <w:lang w:val="ru-RU" w:eastAsia="ru-RU"/>
        </w:rPr>
        <w:lastRenderedPageBreak/>
        <w:drawing>
          <wp:inline distT="0" distB="0" distL="0" distR="0" wp14:anchorId="6D4320CD" wp14:editId="71951225">
            <wp:extent cx="6120765" cy="3672459"/>
            <wp:effectExtent l="0" t="0" r="0" b="4445"/>
            <wp:docPr id="1" name="Рисунок 1" descr="C:\Users\golovinoviv\Documents\tumor_volume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lovinoviv\Documents\tumor_volume_final.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765" cy="3672459"/>
                    </a:xfrm>
                    <a:prstGeom prst="rect">
                      <a:avLst/>
                    </a:prstGeom>
                    <a:noFill/>
                    <a:ln>
                      <a:noFill/>
                    </a:ln>
                  </pic:spPr>
                </pic:pic>
              </a:graphicData>
            </a:graphic>
          </wp:inline>
        </w:drawing>
      </w:r>
    </w:p>
    <w:p w14:paraId="0DE8E375" w14:textId="40AF9987" w:rsidR="006A0CD1" w:rsidRPr="00D133C3" w:rsidRDefault="006A0CD1" w:rsidP="006A0CD1">
      <w:pPr>
        <w:widowControl w:val="0"/>
        <w:spacing w:after="0" w:line="240" w:lineRule="auto"/>
        <w:jc w:val="both"/>
        <w:rPr>
          <w:rFonts w:ascii="Times New Roman" w:hAnsi="Times New Roman" w:cs="Times New Roman"/>
          <w:bCs/>
          <w:sz w:val="24"/>
          <w:szCs w:val="24"/>
        </w:rPr>
      </w:pPr>
      <w:r w:rsidRPr="00D133C3">
        <w:rPr>
          <w:rFonts w:ascii="Times New Roman" w:hAnsi="Times New Roman" w:cs="Times New Roman"/>
          <w:bCs/>
          <w:sz w:val="24"/>
          <w:szCs w:val="24"/>
        </w:rPr>
        <w:t>Figure</w:t>
      </w:r>
      <w:r w:rsidR="00EB4B9C" w:rsidRPr="00D133C3">
        <w:rPr>
          <w:rFonts w:ascii="Times New Roman" w:hAnsi="Times New Roman" w:cs="Times New Roman"/>
          <w:bCs/>
          <w:sz w:val="24"/>
          <w:szCs w:val="24"/>
        </w:rPr>
        <w:t xml:space="preserve"> 1. Tumor growth kinetics in U87</w:t>
      </w:r>
      <w:r w:rsidRPr="00D133C3">
        <w:rPr>
          <w:rFonts w:ascii="Times New Roman" w:hAnsi="Times New Roman" w:cs="Times New Roman"/>
          <w:bCs/>
          <w:sz w:val="24"/>
          <w:szCs w:val="24"/>
        </w:rPr>
        <w:t>MG xenografts.</w:t>
      </w:r>
    </w:p>
    <w:p w14:paraId="3879EAB4" w14:textId="28E9D282" w:rsidR="006A0CD1" w:rsidRPr="00D133C3" w:rsidRDefault="006A0CD1" w:rsidP="006A0CD1">
      <w:pPr>
        <w:widowControl w:val="0"/>
        <w:spacing w:after="0" w:line="240" w:lineRule="auto"/>
        <w:jc w:val="both"/>
        <w:rPr>
          <w:rFonts w:ascii="Times New Roman" w:hAnsi="Times New Roman" w:cs="Times New Roman"/>
          <w:bCs/>
          <w:sz w:val="24"/>
          <w:szCs w:val="24"/>
        </w:rPr>
      </w:pPr>
      <w:r w:rsidRPr="00D133C3">
        <w:rPr>
          <w:rFonts w:ascii="Times New Roman" w:hAnsi="Times New Roman" w:cs="Times New Roman"/>
          <w:bCs/>
          <w:sz w:val="24"/>
          <w:szCs w:val="24"/>
        </w:rPr>
        <w:t>Note: * p &lt; 0.0</w:t>
      </w:r>
      <w:r w:rsidR="00DB1938" w:rsidRPr="00D133C3">
        <w:rPr>
          <w:rFonts w:ascii="Times New Roman" w:hAnsi="Times New Roman" w:cs="Times New Roman"/>
          <w:bCs/>
          <w:sz w:val="24"/>
          <w:szCs w:val="24"/>
        </w:rPr>
        <w:t>083</w:t>
      </w:r>
      <w:r w:rsidRPr="00D133C3">
        <w:rPr>
          <w:rFonts w:ascii="Times New Roman" w:hAnsi="Times New Roman" w:cs="Times New Roman"/>
          <w:bCs/>
          <w:sz w:val="24"/>
          <w:szCs w:val="24"/>
        </w:rPr>
        <w:t xml:space="preserve"> vs. control; · p &lt; 0.0</w:t>
      </w:r>
      <w:r w:rsidR="00DB1938" w:rsidRPr="00D133C3">
        <w:rPr>
          <w:rFonts w:ascii="Times New Roman" w:hAnsi="Times New Roman" w:cs="Times New Roman"/>
          <w:bCs/>
          <w:sz w:val="24"/>
          <w:szCs w:val="24"/>
        </w:rPr>
        <w:t>083</w:t>
      </w:r>
      <w:r w:rsidRPr="00D133C3">
        <w:rPr>
          <w:rFonts w:ascii="Times New Roman" w:hAnsi="Times New Roman" w:cs="Times New Roman"/>
          <w:bCs/>
          <w:sz w:val="24"/>
          <w:szCs w:val="24"/>
        </w:rPr>
        <w:t xml:space="preserve"> vs. TMZ alone; </w:t>
      </w:r>
      <w:r w:rsidRPr="00D133C3">
        <w:rPr>
          <w:rFonts w:ascii="Cambria Math" w:hAnsi="Cambria Math" w:cs="Cambria Math"/>
          <w:bCs/>
          <w:sz w:val="24"/>
          <w:szCs w:val="24"/>
        </w:rPr>
        <w:t>△</w:t>
      </w:r>
      <w:r w:rsidRPr="00D133C3">
        <w:rPr>
          <w:rFonts w:ascii="Times New Roman" w:hAnsi="Times New Roman" w:cs="Times New Roman"/>
          <w:bCs/>
          <w:sz w:val="24"/>
          <w:szCs w:val="24"/>
        </w:rPr>
        <w:t xml:space="preserve"> p &lt; 0.0</w:t>
      </w:r>
      <w:r w:rsidR="00DB1938" w:rsidRPr="00D133C3">
        <w:rPr>
          <w:rFonts w:ascii="Times New Roman" w:hAnsi="Times New Roman" w:cs="Times New Roman"/>
          <w:bCs/>
          <w:sz w:val="24"/>
          <w:szCs w:val="24"/>
        </w:rPr>
        <w:t>083</w:t>
      </w:r>
      <w:r w:rsidRPr="00D133C3">
        <w:rPr>
          <w:rFonts w:ascii="Times New Roman" w:hAnsi="Times New Roman" w:cs="Times New Roman"/>
          <w:bCs/>
          <w:sz w:val="24"/>
          <w:szCs w:val="24"/>
        </w:rPr>
        <w:t xml:space="preserve"> vs. JO-122(2) alone.</w:t>
      </w:r>
    </w:p>
    <w:p w14:paraId="3D28C679" w14:textId="1973341D" w:rsidR="006A0CD1" w:rsidRPr="00D133C3" w:rsidRDefault="006A0CD1" w:rsidP="006A0CD1">
      <w:pPr>
        <w:widowControl w:val="0"/>
        <w:spacing w:after="0" w:line="240" w:lineRule="auto"/>
        <w:jc w:val="both"/>
        <w:rPr>
          <w:rFonts w:ascii="Times New Roman" w:hAnsi="Times New Roman" w:cs="Times New Roman"/>
          <w:bCs/>
          <w:sz w:val="24"/>
          <w:szCs w:val="24"/>
        </w:rPr>
      </w:pPr>
    </w:p>
    <w:p w14:paraId="2179B0B8" w14:textId="77777777" w:rsidR="00F52E86" w:rsidRPr="00D133C3" w:rsidRDefault="00F52E86" w:rsidP="00F52E86">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Table 2. Protein levels in tumor tissue normalized to tissue mass</w:t>
      </w:r>
    </w:p>
    <w:tbl>
      <w:tblPr>
        <w:tblStyle w:val="af7"/>
        <w:tblW w:w="9634" w:type="dxa"/>
        <w:tblLook w:val="04A0" w:firstRow="1" w:lastRow="0" w:firstColumn="1" w:lastColumn="0" w:noHBand="0" w:noVBand="1"/>
      </w:tblPr>
      <w:tblGrid>
        <w:gridCol w:w="1926"/>
        <w:gridCol w:w="1927"/>
        <w:gridCol w:w="1927"/>
        <w:gridCol w:w="1927"/>
        <w:gridCol w:w="1927"/>
      </w:tblGrid>
      <w:tr w:rsidR="00DB1938" w:rsidRPr="00D133C3" w14:paraId="4BA78250" w14:textId="77777777" w:rsidTr="00DB1938">
        <w:tc>
          <w:tcPr>
            <w:tcW w:w="1926" w:type="dxa"/>
          </w:tcPr>
          <w:p w14:paraId="547D3D36" w14:textId="77777777" w:rsidR="00DB1938" w:rsidRPr="00D133C3" w:rsidRDefault="00DB1938" w:rsidP="00DB1938">
            <w:pPr>
              <w:widowControl w:val="0"/>
              <w:spacing w:after="0" w:line="240" w:lineRule="auto"/>
              <w:rPr>
                <w:rFonts w:ascii="Times New Roman" w:hAnsi="Times New Roman" w:cs="Times New Roman"/>
                <w:bCs/>
                <w:color w:val="000000" w:themeColor="text1"/>
                <w:sz w:val="20"/>
                <w:szCs w:val="24"/>
                <w:lang w:bidi="fa-IR"/>
              </w:rPr>
            </w:pPr>
            <w:r w:rsidRPr="00D133C3">
              <w:rPr>
                <w:rFonts w:ascii="Times New Roman" w:hAnsi="Times New Roman" w:cs="Times New Roman"/>
                <w:sz w:val="20"/>
                <w:szCs w:val="24"/>
              </w:rPr>
              <w:t>Protein</w:t>
            </w:r>
          </w:p>
        </w:tc>
        <w:tc>
          <w:tcPr>
            <w:tcW w:w="1927" w:type="dxa"/>
          </w:tcPr>
          <w:p w14:paraId="63A22D90" w14:textId="77777777" w:rsidR="00DB1938" w:rsidRPr="00D133C3" w:rsidRDefault="00DB1938" w:rsidP="00DB1938">
            <w:pPr>
              <w:widowControl w:val="0"/>
              <w:spacing w:after="0" w:line="240" w:lineRule="auto"/>
              <w:rPr>
                <w:rFonts w:ascii="Times New Roman" w:hAnsi="Times New Roman" w:cs="Times New Roman"/>
                <w:bCs/>
                <w:color w:val="000000" w:themeColor="text1"/>
                <w:sz w:val="20"/>
                <w:szCs w:val="24"/>
                <w:lang w:bidi="fa-IR"/>
              </w:rPr>
            </w:pPr>
            <w:r w:rsidRPr="00D133C3">
              <w:rPr>
                <w:rFonts w:ascii="Times New Roman" w:hAnsi="Times New Roman" w:cs="Times New Roman"/>
                <w:sz w:val="20"/>
                <w:szCs w:val="24"/>
              </w:rPr>
              <w:t>TMZ (20 mg/kg)</w:t>
            </w:r>
          </w:p>
        </w:tc>
        <w:tc>
          <w:tcPr>
            <w:tcW w:w="1927" w:type="dxa"/>
          </w:tcPr>
          <w:p w14:paraId="08917521" w14:textId="773E8339" w:rsidR="00DB1938" w:rsidRPr="00D133C3" w:rsidRDefault="00DB1938" w:rsidP="00DB1938">
            <w:pPr>
              <w:widowControl w:val="0"/>
              <w:spacing w:after="0" w:line="240" w:lineRule="auto"/>
              <w:rPr>
                <w:rFonts w:ascii="Times New Roman" w:hAnsi="Times New Roman" w:cs="Times New Roman"/>
                <w:sz w:val="20"/>
                <w:szCs w:val="24"/>
              </w:rPr>
            </w:pPr>
            <w:r w:rsidRPr="00D133C3">
              <w:rPr>
                <w:rFonts w:ascii="Times New Roman" w:hAnsi="Times New Roman" w:cs="Times New Roman"/>
                <w:sz w:val="20"/>
                <w:szCs w:val="24"/>
              </w:rPr>
              <w:t>JO-122(2) (60 mg/kg)</w:t>
            </w:r>
          </w:p>
        </w:tc>
        <w:tc>
          <w:tcPr>
            <w:tcW w:w="1927" w:type="dxa"/>
          </w:tcPr>
          <w:p w14:paraId="5FBACB32" w14:textId="20D05EF4" w:rsidR="00DB1938" w:rsidRPr="00D133C3" w:rsidRDefault="00DB1938" w:rsidP="00DB1938">
            <w:pPr>
              <w:widowControl w:val="0"/>
              <w:spacing w:after="0" w:line="240" w:lineRule="auto"/>
              <w:rPr>
                <w:rFonts w:ascii="Times New Roman" w:hAnsi="Times New Roman" w:cs="Times New Roman"/>
                <w:bCs/>
                <w:color w:val="000000" w:themeColor="text1"/>
                <w:sz w:val="20"/>
                <w:szCs w:val="24"/>
                <w:lang w:bidi="fa-IR"/>
              </w:rPr>
            </w:pPr>
            <w:r w:rsidRPr="00D133C3">
              <w:rPr>
                <w:rFonts w:ascii="Times New Roman" w:hAnsi="Times New Roman" w:cs="Times New Roman"/>
                <w:sz w:val="20"/>
                <w:szCs w:val="24"/>
              </w:rPr>
              <w:t>JO-122(2) (60 mg/kg) + TMZ (20 mg/kg)</w:t>
            </w:r>
          </w:p>
        </w:tc>
        <w:tc>
          <w:tcPr>
            <w:tcW w:w="1927" w:type="dxa"/>
          </w:tcPr>
          <w:p w14:paraId="00760B98" w14:textId="77777777" w:rsidR="00DB1938" w:rsidRPr="00D133C3" w:rsidRDefault="00DB1938" w:rsidP="00DB1938">
            <w:pPr>
              <w:widowControl w:val="0"/>
              <w:spacing w:after="0" w:line="240" w:lineRule="auto"/>
              <w:rPr>
                <w:rFonts w:ascii="Times New Roman" w:hAnsi="Times New Roman" w:cs="Times New Roman"/>
                <w:bCs/>
                <w:color w:val="000000" w:themeColor="text1"/>
                <w:sz w:val="20"/>
                <w:szCs w:val="24"/>
                <w:lang w:bidi="fa-IR"/>
              </w:rPr>
            </w:pPr>
            <w:r w:rsidRPr="00D133C3">
              <w:rPr>
                <w:rFonts w:ascii="Times New Roman" w:hAnsi="Times New Roman" w:cs="Times New Roman"/>
                <w:sz w:val="20"/>
                <w:szCs w:val="24"/>
              </w:rPr>
              <w:t>Control</w:t>
            </w:r>
          </w:p>
        </w:tc>
      </w:tr>
      <w:tr w:rsidR="00DB1938" w:rsidRPr="00D133C3" w14:paraId="7747E40C" w14:textId="77777777" w:rsidTr="00DB1938">
        <w:tc>
          <w:tcPr>
            <w:tcW w:w="1926" w:type="dxa"/>
          </w:tcPr>
          <w:p w14:paraId="743F0476" w14:textId="77777777" w:rsidR="00DB1938" w:rsidRPr="00D133C3" w:rsidRDefault="00DB1938" w:rsidP="00DB1938">
            <w:pPr>
              <w:widowControl w:val="0"/>
              <w:spacing w:after="0" w:line="240" w:lineRule="auto"/>
              <w:rPr>
                <w:rFonts w:ascii="Times New Roman" w:hAnsi="Times New Roman" w:cs="Times New Roman"/>
                <w:bCs/>
                <w:color w:val="000000" w:themeColor="text1"/>
                <w:sz w:val="20"/>
                <w:szCs w:val="24"/>
                <w:lang w:bidi="fa-IR"/>
              </w:rPr>
            </w:pPr>
            <w:r w:rsidRPr="00D133C3">
              <w:rPr>
                <w:rFonts w:ascii="Times New Roman" w:hAnsi="Times New Roman" w:cs="Times New Roman"/>
                <w:sz w:val="20"/>
                <w:szCs w:val="24"/>
              </w:rPr>
              <w:t xml:space="preserve">p53, </w:t>
            </w:r>
            <w:proofErr w:type="spellStart"/>
            <w:r w:rsidRPr="00D133C3">
              <w:rPr>
                <w:rFonts w:ascii="Times New Roman" w:hAnsi="Times New Roman" w:cs="Times New Roman"/>
                <w:sz w:val="20"/>
                <w:szCs w:val="24"/>
              </w:rPr>
              <w:t>pg</w:t>
            </w:r>
            <w:proofErr w:type="spellEnd"/>
            <w:r w:rsidRPr="00D133C3">
              <w:rPr>
                <w:rFonts w:ascii="Times New Roman" w:hAnsi="Times New Roman" w:cs="Times New Roman"/>
                <w:sz w:val="20"/>
                <w:szCs w:val="24"/>
              </w:rPr>
              <w:t>/mg</w:t>
            </w:r>
          </w:p>
        </w:tc>
        <w:tc>
          <w:tcPr>
            <w:tcW w:w="1927" w:type="dxa"/>
          </w:tcPr>
          <w:p w14:paraId="309B2086" w14:textId="77777777" w:rsidR="00DB1938" w:rsidRPr="00D133C3" w:rsidRDefault="00DB1938" w:rsidP="00DB1938">
            <w:pPr>
              <w:widowControl w:val="0"/>
              <w:spacing w:after="0" w:line="240" w:lineRule="auto"/>
              <w:rPr>
                <w:rFonts w:ascii="Times New Roman" w:hAnsi="Times New Roman" w:cs="Times New Roman"/>
                <w:bCs/>
                <w:color w:val="000000" w:themeColor="text1"/>
                <w:sz w:val="20"/>
                <w:szCs w:val="24"/>
                <w:lang w:bidi="fa-IR"/>
              </w:rPr>
            </w:pPr>
            <w:r w:rsidRPr="00D133C3">
              <w:rPr>
                <w:rFonts w:ascii="Times New Roman" w:hAnsi="Times New Roman" w:cs="Times New Roman"/>
                <w:sz w:val="20"/>
                <w:szCs w:val="24"/>
              </w:rPr>
              <w:t>3506,84±369,77</w:t>
            </w:r>
          </w:p>
        </w:tc>
        <w:tc>
          <w:tcPr>
            <w:tcW w:w="1927" w:type="dxa"/>
          </w:tcPr>
          <w:p w14:paraId="76EC1CCA" w14:textId="343D14DF" w:rsidR="00DB1938" w:rsidRPr="00D133C3" w:rsidRDefault="00DB1938" w:rsidP="00DB1938">
            <w:pPr>
              <w:widowControl w:val="0"/>
              <w:spacing w:after="0" w:line="240" w:lineRule="auto"/>
              <w:rPr>
                <w:rFonts w:ascii="Times New Roman" w:hAnsi="Times New Roman" w:cs="Times New Roman"/>
                <w:sz w:val="20"/>
                <w:szCs w:val="24"/>
              </w:rPr>
            </w:pPr>
            <w:r w:rsidRPr="00D133C3">
              <w:rPr>
                <w:rFonts w:ascii="Times New Roman" w:hAnsi="Times New Roman" w:cs="Times New Roman"/>
                <w:sz w:val="20"/>
                <w:szCs w:val="24"/>
              </w:rPr>
              <w:t>4428,49±410,93*·</w:t>
            </w:r>
          </w:p>
        </w:tc>
        <w:tc>
          <w:tcPr>
            <w:tcW w:w="1927" w:type="dxa"/>
          </w:tcPr>
          <w:p w14:paraId="4A3B7FAF" w14:textId="0C477670" w:rsidR="00DB1938" w:rsidRPr="00D133C3" w:rsidRDefault="00DB1938" w:rsidP="00DB1938">
            <w:pPr>
              <w:widowControl w:val="0"/>
              <w:spacing w:after="0" w:line="240" w:lineRule="auto"/>
              <w:rPr>
                <w:rFonts w:ascii="Times New Roman" w:hAnsi="Times New Roman" w:cs="Times New Roman"/>
                <w:bCs/>
                <w:color w:val="000000" w:themeColor="text1"/>
                <w:sz w:val="20"/>
                <w:szCs w:val="24"/>
                <w:lang w:bidi="fa-IR"/>
              </w:rPr>
            </w:pPr>
            <w:r w:rsidRPr="00D133C3">
              <w:rPr>
                <w:rFonts w:ascii="Times New Roman" w:hAnsi="Times New Roman" w:cs="Times New Roman"/>
                <w:sz w:val="20"/>
                <w:szCs w:val="24"/>
              </w:rPr>
              <w:t>5091,64±590,22*·</w:t>
            </w:r>
          </w:p>
        </w:tc>
        <w:tc>
          <w:tcPr>
            <w:tcW w:w="1927" w:type="dxa"/>
          </w:tcPr>
          <w:p w14:paraId="3A94BDF3" w14:textId="77777777" w:rsidR="00DB1938" w:rsidRPr="00D133C3" w:rsidRDefault="00DB1938" w:rsidP="00DB1938">
            <w:pPr>
              <w:widowControl w:val="0"/>
              <w:spacing w:after="0" w:line="240" w:lineRule="auto"/>
              <w:rPr>
                <w:rFonts w:ascii="Times New Roman" w:hAnsi="Times New Roman" w:cs="Times New Roman"/>
                <w:bCs/>
                <w:color w:val="000000" w:themeColor="text1"/>
                <w:sz w:val="20"/>
                <w:szCs w:val="24"/>
                <w:lang w:bidi="fa-IR"/>
              </w:rPr>
            </w:pPr>
            <w:r w:rsidRPr="00D133C3">
              <w:rPr>
                <w:rFonts w:ascii="Times New Roman" w:hAnsi="Times New Roman" w:cs="Times New Roman"/>
                <w:sz w:val="20"/>
                <w:szCs w:val="24"/>
              </w:rPr>
              <w:t>2650,45±923,65</w:t>
            </w:r>
          </w:p>
        </w:tc>
      </w:tr>
      <w:tr w:rsidR="00DB1938" w:rsidRPr="00D133C3" w14:paraId="34E994DB" w14:textId="77777777" w:rsidTr="00DB1938">
        <w:tc>
          <w:tcPr>
            <w:tcW w:w="1926" w:type="dxa"/>
          </w:tcPr>
          <w:p w14:paraId="1C049939" w14:textId="77777777" w:rsidR="00DB1938" w:rsidRPr="00D133C3" w:rsidRDefault="00DB1938" w:rsidP="00DB1938">
            <w:pPr>
              <w:widowControl w:val="0"/>
              <w:spacing w:after="0" w:line="240" w:lineRule="auto"/>
              <w:rPr>
                <w:rFonts w:ascii="Times New Roman" w:hAnsi="Times New Roman" w:cs="Times New Roman"/>
                <w:bCs/>
                <w:color w:val="000000" w:themeColor="text1"/>
                <w:sz w:val="20"/>
                <w:szCs w:val="24"/>
                <w:lang w:bidi="fa-IR"/>
              </w:rPr>
            </w:pPr>
            <w:r w:rsidRPr="00D133C3">
              <w:rPr>
                <w:rFonts w:ascii="Times New Roman" w:hAnsi="Times New Roman" w:cs="Times New Roman"/>
                <w:sz w:val="20"/>
                <w:szCs w:val="24"/>
              </w:rPr>
              <w:t>MDM2, ng/mg</w:t>
            </w:r>
          </w:p>
        </w:tc>
        <w:tc>
          <w:tcPr>
            <w:tcW w:w="1927" w:type="dxa"/>
          </w:tcPr>
          <w:p w14:paraId="7776D2BB" w14:textId="77777777" w:rsidR="00DB1938" w:rsidRPr="00D133C3" w:rsidRDefault="00DB1938" w:rsidP="00DB1938">
            <w:pPr>
              <w:widowControl w:val="0"/>
              <w:spacing w:after="0" w:line="240" w:lineRule="auto"/>
              <w:rPr>
                <w:rFonts w:ascii="Times New Roman" w:hAnsi="Times New Roman" w:cs="Times New Roman"/>
                <w:bCs/>
                <w:color w:val="000000" w:themeColor="text1"/>
                <w:sz w:val="20"/>
                <w:szCs w:val="24"/>
                <w:lang w:bidi="fa-IR"/>
              </w:rPr>
            </w:pPr>
            <w:r w:rsidRPr="00D133C3">
              <w:rPr>
                <w:rFonts w:ascii="Times New Roman" w:hAnsi="Times New Roman" w:cs="Times New Roman"/>
                <w:sz w:val="20"/>
                <w:szCs w:val="24"/>
              </w:rPr>
              <w:t>0,54±0,04*</w:t>
            </w:r>
          </w:p>
        </w:tc>
        <w:tc>
          <w:tcPr>
            <w:tcW w:w="1927" w:type="dxa"/>
          </w:tcPr>
          <w:p w14:paraId="7783D78D" w14:textId="26568FE5" w:rsidR="00DB1938" w:rsidRPr="00D133C3" w:rsidRDefault="00DB1938" w:rsidP="00DB1938">
            <w:pPr>
              <w:widowControl w:val="0"/>
              <w:spacing w:after="0" w:line="240" w:lineRule="auto"/>
              <w:rPr>
                <w:rFonts w:ascii="Times New Roman" w:hAnsi="Times New Roman" w:cs="Times New Roman"/>
                <w:sz w:val="20"/>
                <w:szCs w:val="24"/>
              </w:rPr>
            </w:pPr>
            <w:r w:rsidRPr="00D133C3">
              <w:rPr>
                <w:rFonts w:ascii="Times New Roman" w:hAnsi="Times New Roman" w:cs="Times New Roman"/>
                <w:sz w:val="20"/>
                <w:szCs w:val="24"/>
              </w:rPr>
              <w:t>0,32±0,08*·</w:t>
            </w:r>
          </w:p>
        </w:tc>
        <w:tc>
          <w:tcPr>
            <w:tcW w:w="1927" w:type="dxa"/>
          </w:tcPr>
          <w:p w14:paraId="247F4486" w14:textId="45A44C58" w:rsidR="00DB1938" w:rsidRPr="00D133C3" w:rsidRDefault="00DB1938" w:rsidP="00DB1938">
            <w:pPr>
              <w:widowControl w:val="0"/>
              <w:spacing w:after="0" w:line="240" w:lineRule="auto"/>
              <w:rPr>
                <w:rFonts w:ascii="Times New Roman" w:hAnsi="Times New Roman" w:cs="Times New Roman"/>
                <w:bCs/>
                <w:color w:val="000000" w:themeColor="text1"/>
                <w:sz w:val="20"/>
                <w:szCs w:val="24"/>
                <w:lang w:bidi="fa-IR"/>
              </w:rPr>
            </w:pPr>
            <w:r w:rsidRPr="00D133C3">
              <w:rPr>
                <w:rFonts w:ascii="Times New Roman" w:hAnsi="Times New Roman" w:cs="Times New Roman"/>
                <w:sz w:val="20"/>
                <w:szCs w:val="24"/>
              </w:rPr>
              <w:t>0,27±0,10*·</w:t>
            </w:r>
          </w:p>
        </w:tc>
        <w:tc>
          <w:tcPr>
            <w:tcW w:w="1927" w:type="dxa"/>
          </w:tcPr>
          <w:p w14:paraId="306F324E" w14:textId="77777777" w:rsidR="00DB1938" w:rsidRPr="00D133C3" w:rsidRDefault="00DB1938" w:rsidP="00DB1938">
            <w:pPr>
              <w:widowControl w:val="0"/>
              <w:spacing w:after="0" w:line="240" w:lineRule="auto"/>
              <w:rPr>
                <w:rFonts w:ascii="Times New Roman" w:hAnsi="Times New Roman" w:cs="Times New Roman"/>
                <w:bCs/>
                <w:color w:val="000000" w:themeColor="text1"/>
                <w:sz w:val="20"/>
                <w:szCs w:val="24"/>
                <w:lang w:bidi="fa-IR"/>
              </w:rPr>
            </w:pPr>
            <w:r w:rsidRPr="00D133C3">
              <w:rPr>
                <w:rFonts w:ascii="Times New Roman" w:hAnsi="Times New Roman" w:cs="Times New Roman"/>
                <w:sz w:val="20"/>
                <w:szCs w:val="24"/>
              </w:rPr>
              <w:t>1,08±0,27</w:t>
            </w:r>
          </w:p>
        </w:tc>
      </w:tr>
      <w:tr w:rsidR="00DB1938" w:rsidRPr="00D133C3" w14:paraId="7B258BF5" w14:textId="77777777" w:rsidTr="00DB1938">
        <w:tc>
          <w:tcPr>
            <w:tcW w:w="1926" w:type="dxa"/>
          </w:tcPr>
          <w:p w14:paraId="00006A15" w14:textId="77777777" w:rsidR="00DB1938" w:rsidRPr="00D133C3" w:rsidRDefault="00DB1938" w:rsidP="00DB1938">
            <w:pPr>
              <w:widowControl w:val="0"/>
              <w:spacing w:after="0" w:line="240" w:lineRule="auto"/>
              <w:rPr>
                <w:rFonts w:ascii="Times New Roman" w:hAnsi="Times New Roman" w:cs="Times New Roman"/>
                <w:bCs/>
                <w:color w:val="000000" w:themeColor="text1"/>
                <w:sz w:val="20"/>
                <w:szCs w:val="24"/>
                <w:lang w:bidi="fa-IR"/>
              </w:rPr>
            </w:pPr>
            <w:proofErr w:type="spellStart"/>
            <w:r w:rsidRPr="00D133C3">
              <w:rPr>
                <w:rFonts w:ascii="Times New Roman" w:hAnsi="Times New Roman" w:cs="Times New Roman"/>
                <w:sz w:val="20"/>
                <w:szCs w:val="24"/>
              </w:rPr>
              <w:t>Bax</w:t>
            </w:r>
            <w:proofErr w:type="spellEnd"/>
            <w:r w:rsidRPr="00D133C3">
              <w:rPr>
                <w:rFonts w:ascii="Times New Roman" w:hAnsi="Times New Roman" w:cs="Times New Roman"/>
                <w:sz w:val="20"/>
                <w:szCs w:val="24"/>
              </w:rPr>
              <w:t xml:space="preserve">, </w:t>
            </w:r>
            <w:proofErr w:type="spellStart"/>
            <w:r w:rsidRPr="00D133C3">
              <w:rPr>
                <w:rFonts w:ascii="Times New Roman" w:hAnsi="Times New Roman" w:cs="Times New Roman"/>
                <w:sz w:val="20"/>
                <w:szCs w:val="24"/>
              </w:rPr>
              <w:t>pg</w:t>
            </w:r>
            <w:proofErr w:type="spellEnd"/>
            <w:r w:rsidRPr="00D133C3">
              <w:rPr>
                <w:rFonts w:ascii="Times New Roman" w:hAnsi="Times New Roman" w:cs="Times New Roman"/>
                <w:sz w:val="20"/>
                <w:szCs w:val="24"/>
              </w:rPr>
              <w:t>/mg</w:t>
            </w:r>
          </w:p>
        </w:tc>
        <w:tc>
          <w:tcPr>
            <w:tcW w:w="1927" w:type="dxa"/>
          </w:tcPr>
          <w:p w14:paraId="2AF256E9" w14:textId="77777777" w:rsidR="00DB1938" w:rsidRPr="00D133C3" w:rsidRDefault="00DB1938" w:rsidP="00DB1938">
            <w:pPr>
              <w:widowControl w:val="0"/>
              <w:spacing w:after="0" w:line="240" w:lineRule="auto"/>
              <w:rPr>
                <w:rFonts w:ascii="Times New Roman" w:hAnsi="Times New Roman" w:cs="Times New Roman"/>
                <w:bCs/>
                <w:color w:val="000000" w:themeColor="text1"/>
                <w:sz w:val="20"/>
                <w:szCs w:val="24"/>
                <w:lang w:bidi="fa-IR"/>
              </w:rPr>
            </w:pPr>
            <w:r w:rsidRPr="00D133C3">
              <w:rPr>
                <w:rFonts w:ascii="Times New Roman" w:hAnsi="Times New Roman" w:cs="Times New Roman"/>
                <w:sz w:val="20"/>
                <w:szCs w:val="24"/>
              </w:rPr>
              <w:t>2979,73±382,30</w:t>
            </w:r>
          </w:p>
        </w:tc>
        <w:tc>
          <w:tcPr>
            <w:tcW w:w="1927" w:type="dxa"/>
          </w:tcPr>
          <w:p w14:paraId="1DFE0408" w14:textId="61DB18B5" w:rsidR="00DB1938" w:rsidRPr="00D133C3" w:rsidRDefault="00DB1938" w:rsidP="00DB1938">
            <w:pPr>
              <w:widowControl w:val="0"/>
              <w:spacing w:after="0" w:line="240" w:lineRule="auto"/>
              <w:rPr>
                <w:rFonts w:ascii="Times New Roman" w:hAnsi="Times New Roman" w:cs="Times New Roman"/>
                <w:sz w:val="20"/>
                <w:szCs w:val="24"/>
              </w:rPr>
            </w:pPr>
            <w:r w:rsidRPr="00D133C3">
              <w:rPr>
                <w:rFonts w:ascii="Times New Roman" w:hAnsi="Times New Roman" w:cs="Times New Roman"/>
                <w:sz w:val="20"/>
                <w:szCs w:val="24"/>
              </w:rPr>
              <w:t>3781,16±760,40</w:t>
            </w:r>
          </w:p>
        </w:tc>
        <w:tc>
          <w:tcPr>
            <w:tcW w:w="1927" w:type="dxa"/>
          </w:tcPr>
          <w:p w14:paraId="2DFCF3BA" w14:textId="7E271279" w:rsidR="00DB1938" w:rsidRPr="00D133C3" w:rsidRDefault="00DB1938" w:rsidP="00DB1938">
            <w:pPr>
              <w:widowControl w:val="0"/>
              <w:spacing w:after="0" w:line="240" w:lineRule="auto"/>
              <w:rPr>
                <w:rFonts w:ascii="Times New Roman" w:hAnsi="Times New Roman" w:cs="Times New Roman"/>
                <w:bCs/>
                <w:color w:val="000000" w:themeColor="text1"/>
                <w:sz w:val="20"/>
                <w:szCs w:val="24"/>
                <w:lang w:bidi="fa-IR"/>
              </w:rPr>
            </w:pPr>
            <w:r w:rsidRPr="00D133C3">
              <w:rPr>
                <w:rFonts w:ascii="Times New Roman" w:hAnsi="Times New Roman" w:cs="Times New Roman"/>
                <w:sz w:val="20"/>
                <w:szCs w:val="24"/>
              </w:rPr>
              <w:t>3967,93±751,33·</w:t>
            </w:r>
          </w:p>
        </w:tc>
        <w:tc>
          <w:tcPr>
            <w:tcW w:w="1927" w:type="dxa"/>
          </w:tcPr>
          <w:p w14:paraId="28B677FA" w14:textId="77777777" w:rsidR="00DB1938" w:rsidRPr="00D133C3" w:rsidRDefault="00DB1938" w:rsidP="00DB1938">
            <w:pPr>
              <w:widowControl w:val="0"/>
              <w:spacing w:after="0" w:line="240" w:lineRule="auto"/>
              <w:rPr>
                <w:rFonts w:ascii="Times New Roman" w:hAnsi="Times New Roman" w:cs="Times New Roman"/>
                <w:bCs/>
                <w:color w:val="000000" w:themeColor="text1"/>
                <w:sz w:val="20"/>
                <w:szCs w:val="24"/>
                <w:lang w:bidi="fa-IR"/>
              </w:rPr>
            </w:pPr>
            <w:r w:rsidRPr="00D133C3">
              <w:rPr>
                <w:rFonts w:ascii="Times New Roman" w:hAnsi="Times New Roman" w:cs="Times New Roman"/>
                <w:sz w:val="20"/>
                <w:szCs w:val="24"/>
              </w:rPr>
              <w:t>3151,16±1190,14</w:t>
            </w:r>
          </w:p>
        </w:tc>
      </w:tr>
      <w:tr w:rsidR="00DB1938" w:rsidRPr="00D133C3" w14:paraId="44E57EE3" w14:textId="77777777" w:rsidTr="00DB1938">
        <w:tc>
          <w:tcPr>
            <w:tcW w:w="1926" w:type="dxa"/>
          </w:tcPr>
          <w:p w14:paraId="6A77238C" w14:textId="77777777" w:rsidR="00DB1938" w:rsidRPr="00D133C3" w:rsidRDefault="00DB1938" w:rsidP="00DB1938">
            <w:pPr>
              <w:widowControl w:val="0"/>
              <w:spacing w:after="0" w:line="240" w:lineRule="auto"/>
              <w:rPr>
                <w:rFonts w:ascii="Times New Roman" w:hAnsi="Times New Roman" w:cs="Times New Roman"/>
                <w:bCs/>
                <w:color w:val="000000" w:themeColor="text1"/>
                <w:sz w:val="20"/>
                <w:szCs w:val="24"/>
                <w:lang w:bidi="fa-IR"/>
              </w:rPr>
            </w:pPr>
            <w:r w:rsidRPr="00D133C3">
              <w:rPr>
                <w:rFonts w:ascii="Times New Roman" w:hAnsi="Times New Roman" w:cs="Times New Roman"/>
                <w:sz w:val="20"/>
                <w:szCs w:val="24"/>
              </w:rPr>
              <w:t>Bcl2, ng/mg</w:t>
            </w:r>
          </w:p>
        </w:tc>
        <w:tc>
          <w:tcPr>
            <w:tcW w:w="1927" w:type="dxa"/>
          </w:tcPr>
          <w:p w14:paraId="779BA146" w14:textId="77777777" w:rsidR="00DB1938" w:rsidRPr="00D133C3" w:rsidRDefault="00DB1938" w:rsidP="00DB1938">
            <w:pPr>
              <w:widowControl w:val="0"/>
              <w:spacing w:after="0" w:line="240" w:lineRule="auto"/>
              <w:rPr>
                <w:rFonts w:ascii="Times New Roman" w:hAnsi="Times New Roman" w:cs="Times New Roman"/>
                <w:bCs/>
                <w:color w:val="000000" w:themeColor="text1"/>
                <w:sz w:val="20"/>
                <w:szCs w:val="24"/>
                <w:lang w:bidi="fa-IR"/>
              </w:rPr>
            </w:pPr>
            <w:r w:rsidRPr="00D133C3">
              <w:rPr>
                <w:rFonts w:ascii="Times New Roman" w:hAnsi="Times New Roman" w:cs="Times New Roman"/>
                <w:sz w:val="20"/>
                <w:szCs w:val="24"/>
              </w:rPr>
              <w:t>1,04±0,29</w:t>
            </w:r>
          </w:p>
        </w:tc>
        <w:tc>
          <w:tcPr>
            <w:tcW w:w="1927" w:type="dxa"/>
          </w:tcPr>
          <w:p w14:paraId="13F5ADA5" w14:textId="2D4FD3C3" w:rsidR="00DB1938" w:rsidRPr="00D133C3" w:rsidRDefault="00DB1938" w:rsidP="00DB1938">
            <w:pPr>
              <w:widowControl w:val="0"/>
              <w:spacing w:after="0" w:line="240" w:lineRule="auto"/>
              <w:rPr>
                <w:rFonts w:ascii="Times New Roman" w:hAnsi="Times New Roman" w:cs="Times New Roman"/>
                <w:sz w:val="20"/>
                <w:szCs w:val="24"/>
              </w:rPr>
            </w:pPr>
            <w:r w:rsidRPr="00D133C3">
              <w:rPr>
                <w:rFonts w:ascii="Times New Roman" w:hAnsi="Times New Roman" w:cs="Times New Roman"/>
                <w:sz w:val="20"/>
                <w:szCs w:val="24"/>
              </w:rPr>
              <w:t>0,42±0,14*·</w:t>
            </w:r>
          </w:p>
        </w:tc>
        <w:tc>
          <w:tcPr>
            <w:tcW w:w="1927" w:type="dxa"/>
          </w:tcPr>
          <w:p w14:paraId="2886FE75" w14:textId="663A8017" w:rsidR="00DB1938" w:rsidRPr="00D133C3" w:rsidRDefault="00DB1938" w:rsidP="00DB1938">
            <w:pPr>
              <w:widowControl w:val="0"/>
              <w:spacing w:after="0" w:line="240" w:lineRule="auto"/>
              <w:rPr>
                <w:rFonts w:ascii="Times New Roman" w:hAnsi="Times New Roman" w:cs="Times New Roman"/>
                <w:bCs/>
                <w:color w:val="000000" w:themeColor="text1"/>
                <w:sz w:val="20"/>
                <w:szCs w:val="24"/>
                <w:lang w:bidi="fa-IR"/>
              </w:rPr>
            </w:pPr>
            <w:r w:rsidRPr="00D133C3">
              <w:rPr>
                <w:rFonts w:ascii="Times New Roman" w:hAnsi="Times New Roman" w:cs="Times New Roman"/>
                <w:sz w:val="20"/>
                <w:szCs w:val="24"/>
              </w:rPr>
              <w:t>0,21±0,08*·</w:t>
            </w:r>
            <w:r w:rsidRPr="00D133C3">
              <w:rPr>
                <w:rFonts w:ascii="Cambria Math" w:hAnsi="Cambria Math" w:cs="Cambria Math"/>
                <w:sz w:val="20"/>
                <w:szCs w:val="24"/>
              </w:rPr>
              <w:t>△</w:t>
            </w:r>
          </w:p>
        </w:tc>
        <w:tc>
          <w:tcPr>
            <w:tcW w:w="1927" w:type="dxa"/>
          </w:tcPr>
          <w:p w14:paraId="6FC3C83B" w14:textId="77777777" w:rsidR="00DB1938" w:rsidRPr="00D133C3" w:rsidRDefault="00DB1938" w:rsidP="00DB1938">
            <w:pPr>
              <w:widowControl w:val="0"/>
              <w:spacing w:after="0" w:line="240" w:lineRule="auto"/>
              <w:rPr>
                <w:rFonts w:ascii="Times New Roman" w:hAnsi="Times New Roman" w:cs="Times New Roman"/>
                <w:bCs/>
                <w:color w:val="000000" w:themeColor="text1"/>
                <w:sz w:val="20"/>
                <w:szCs w:val="24"/>
                <w:lang w:bidi="fa-IR"/>
              </w:rPr>
            </w:pPr>
            <w:r w:rsidRPr="00D133C3">
              <w:rPr>
                <w:rFonts w:ascii="Times New Roman" w:hAnsi="Times New Roman" w:cs="Times New Roman"/>
                <w:sz w:val="20"/>
                <w:szCs w:val="24"/>
              </w:rPr>
              <w:t>1,54±0,67</w:t>
            </w:r>
          </w:p>
        </w:tc>
      </w:tr>
      <w:tr w:rsidR="00DB1938" w:rsidRPr="00D133C3" w14:paraId="797D1A6A" w14:textId="77777777" w:rsidTr="00DB1938">
        <w:tc>
          <w:tcPr>
            <w:tcW w:w="1926" w:type="dxa"/>
          </w:tcPr>
          <w:p w14:paraId="3341A342" w14:textId="77777777" w:rsidR="00DB1938" w:rsidRPr="00D133C3" w:rsidRDefault="00DB1938" w:rsidP="00DB1938">
            <w:pPr>
              <w:widowControl w:val="0"/>
              <w:spacing w:after="0" w:line="240" w:lineRule="auto"/>
              <w:rPr>
                <w:rFonts w:ascii="Times New Roman" w:hAnsi="Times New Roman" w:cs="Times New Roman"/>
                <w:bCs/>
                <w:color w:val="000000" w:themeColor="text1"/>
                <w:sz w:val="20"/>
                <w:szCs w:val="24"/>
                <w:lang w:bidi="fa-IR"/>
              </w:rPr>
            </w:pPr>
            <w:r w:rsidRPr="00D133C3">
              <w:rPr>
                <w:rFonts w:ascii="Times New Roman" w:hAnsi="Times New Roman" w:cs="Times New Roman"/>
                <w:sz w:val="20"/>
                <w:szCs w:val="24"/>
              </w:rPr>
              <w:t>CASP9, ng/mg</w:t>
            </w:r>
          </w:p>
        </w:tc>
        <w:tc>
          <w:tcPr>
            <w:tcW w:w="1927" w:type="dxa"/>
          </w:tcPr>
          <w:p w14:paraId="7820D7D1" w14:textId="77777777" w:rsidR="00DB1938" w:rsidRPr="00D133C3" w:rsidRDefault="00DB1938" w:rsidP="00DB1938">
            <w:pPr>
              <w:widowControl w:val="0"/>
              <w:spacing w:after="0" w:line="240" w:lineRule="auto"/>
              <w:rPr>
                <w:rFonts w:ascii="Times New Roman" w:hAnsi="Times New Roman" w:cs="Times New Roman"/>
                <w:bCs/>
                <w:color w:val="000000" w:themeColor="text1"/>
                <w:sz w:val="20"/>
                <w:szCs w:val="24"/>
                <w:lang w:bidi="fa-IR"/>
              </w:rPr>
            </w:pPr>
            <w:r w:rsidRPr="00D133C3">
              <w:rPr>
                <w:rFonts w:ascii="Times New Roman" w:hAnsi="Times New Roman" w:cs="Times New Roman"/>
                <w:sz w:val="20"/>
                <w:szCs w:val="24"/>
              </w:rPr>
              <w:t>1,36±0,42</w:t>
            </w:r>
          </w:p>
        </w:tc>
        <w:tc>
          <w:tcPr>
            <w:tcW w:w="1927" w:type="dxa"/>
          </w:tcPr>
          <w:p w14:paraId="23F1BA85" w14:textId="6A7BAAEA" w:rsidR="00DB1938" w:rsidRPr="00D133C3" w:rsidRDefault="00DB1938" w:rsidP="00DB1938">
            <w:pPr>
              <w:widowControl w:val="0"/>
              <w:spacing w:after="0" w:line="240" w:lineRule="auto"/>
              <w:rPr>
                <w:rFonts w:ascii="Times New Roman" w:hAnsi="Times New Roman" w:cs="Times New Roman"/>
                <w:sz w:val="20"/>
                <w:szCs w:val="24"/>
              </w:rPr>
            </w:pPr>
            <w:r w:rsidRPr="00D133C3">
              <w:rPr>
                <w:rFonts w:ascii="Times New Roman" w:hAnsi="Times New Roman" w:cs="Times New Roman"/>
                <w:sz w:val="20"/>
                <w:szCs w:val="24"/>
              </w:rPr>
              <w:t>2,74±0,49*·</w:t>
            </w:r>
          </w:p>
        </w:tc>
        <w:tc>
          <w:tcPr>
            <w:tcW w:w="1927" w:type="dxa"/>
          </w:tcPr>
          <w:p w14:paraId="1F0459A6" w14:textId="51AD7534" w:rsidR="00DB1938" w:rsidRPr="00D133C3" w:rsidRDefault="00DB1938" w:rsidP="00DB1938">
            <w:pPr>
              <w:widowControl w:val="0"/>
              <w:spacing w:after="0" w:line="240" w:lineRule="auto"/>
              <w:rPr>
                <w:rFonts w:ascii="Times New Roman" w:hAnsi="Times New Roman" w:cs="Times New Roman"/>
                <w:bCs/>
                <w:color w:val="000000" w:themeColor="text1"/>
                <w:sz w:val="20"/>
                <w:szCs w:val="24"/>
                <w:lang w:bidi="fa-IR"/>
              </w:rPr>
            </w:pPr>
            <w:r w:rsidRPr="00D133C3">
              <w:rPr>
                <w:rFonts w:ascii="Times New Roman" w:hAnsi="Times New Roman" w:cs="Times New Roman"/>
                <w:sz w:val="20"/>
                <w:szCs w:val="24"/>
              </w:rPr>
              <w:t>3,10±0,67*·</w:t>
            </w:r>
          </w:p>
        </w:tc>
        <w:tc>
          <w:tcPr>
            <w:tcW w:w="1927" w:type="dxa"/>
          </w:tcPr>
          <w:p w14:paraId="05FDED16" w14:textId="77777777" w:rsidR="00DB1938" w:rsidRPr="00D133C3" w:rsidRDefault="00DB1938" w:rsidP="00DB1938">
            <w:pPr>
              <w:widowControl w:val="0"/>
              <w:spacing w:after="0" w:line="240" w:lineRule="auto"/>
              <w:rPr>
                <w:rFonts w:ascii="Times New Roman" w:hAnsi="Times New Roman" w:cs="Times New Roman"/>
                <w:bCs/>
                <w:color w:val="000000" w:themeColor="text1"/>
                <w:sz w:val="20"/>
                <w:szCs w:val="24"/>
                <w:lang w:bidi="fa-IR"/>
              </w:rPr>
            </w:pPr>
            <w:r w:rsidRPr="00D133C3">
              <w:rPr>
                <w:rFonts w:ascii="Times New Roman" w:hAnsi="Times New Roman" w:cs="Times New Roman"/>
                <w:sz w:val="20"/>
                <w:szCs w:val="24"/>
              </w:rPr>
              <w:t>1,18±0,54</w:t>
            </w:r>
          </w:p>
        </w:tc>
      </w:tr>
    </w:tbl>
    <w:p w14:paraId="4F6B41E7" w14:textId="4D63AD2D" w:rsidR="00F52E86" w:rsidRPr="00D133C3" w:rsidRDefault="00F52E86" w:rsidP="00F52E86">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Note: * p &lt; 0.</w:t>
      </w:r>
      <w:r w:rsidR="00DB1938" w:rsidRPr="00D133C3">
        <w:rPr>
          <w:rFonts w:ascii="Times New Roman" w:hAnsi="Times New Roman" w:cs="Times New Roman"/>
          <w:bCs/>
          <w:sz w:val="24"/>
          <w:szCs w:val="24"/>
        </w:rPr>
        <w:t>0083</w:t>
      </w:r>
      <w:r w:rsidR="00DB1938" w:rsidRPr="00D133C3">
        <w:rPr>
          <w:rFonts w:ascii="Times New Roman" w:hAnsi="Times New Roman" w:cs="Times New Roman"/>
          <w:bCs/>
          <w:color w:val="000000" w:themeColor="text1"/>
          <w:sz w:val="24"/>
          <w:szCs w:val="24"/>
          <w:lang w:bidi="fa-IR"/>
        </w:rPr>
        <w:t xml:space="preserve"> vs. control; · p &lt; 0.0083</w:t>
      </w:r>
      <w:r w:rsidRPr="00D133C3">
        <w:rPr>
          <w:rFonts w:ascii="Times New Roman" w:hAnsi="Times New Roman" w:cs="Times New Roman"/>
          <w:bCs/>
          <w:color w:val="000000" w:themeColor="text1"/>
          <w:sz w:val="24"/>
          <w:szCs w:val="24"/>
          <w:lang w:bidi="fa-IR"/>
        </w:rPr>
        <w:t xml:space="preserve"> vs. TMZ alone; </w:t>
      </w:r>
      <w:r w:rsidRPr="00D133C3">
        <w:rPr>
          <w:rFonts w:ascii="Cambria Math" w:hAnsi="Cambria Math" w:cs="Cambria Math"/>
          <w:sz w:val="24"/>
          <w:szCs w:val="24"/>
        </w:rPr>
        <w:t>△</w:t>
      </w:r>
      <w:r w:rsidRPr="00D133C3">
        <w:rPr>
          <w:rFonts w:ascii="Times New Roman" w:hAnsi="Times New Roman" w:cs="Times New Roman"/>
          <w:bCs/>
          <w:color w:val="000000" w:themeColor="text1"/>
          <w:sz w:val="24"/>
          <w:szCs w:val="24"/>
          <w:lang w:bidi="fa-IR"/>
        </w:rPr>
        <w:t xml:space="preserve"> </w:t>
      </w:r>
      <w:r w:rsidR="00DB1938" w:rsidRPr="00D133C3">
        <w:rPr>
          <w:rFonts w:ascii="Times New Roman" w:hAnsi="Times New Roman" w:cs="Times New Roman"/>
          <w:bCs/>
          <w:color w:val="000000" w:themeColor="text1"/>
          <w:sz w:val="24"/>
          <w:szCs w:val="24"/>
          <w:lang w:bidi="fa-IR"/>
        </w:rPr>
        <w:t>p &lt; 0.0083</w:t>
      </w:r>
      <w:r w:rsidRPr="00D133C3">
        <w:rPr>
          <w:rFonts w:ascii="Times New Roman" w:hAnsi="Times New Roman" w:cs="Times New Roman"/>
          <w:bCs/>
          <w:color w:val="000000" w:themeColor="text1"/>
          <w:sz w:val="24"/>
          <w:szCs w:val="24"/>
          <w:lang w:bidi="fa-IR"/>
        </w:rPr>
        <w:t xml:space="preserve"> vs. JO-122(2) alone.</w:t>
      </w:r>
    </w:p>
    <w:p w14:paraId="73A30BF5" w14:textId="6F352346" w:rsidR="006A0CD1" w:rsidRPr="00D133C3" w:rsidRDefault="006A0CD1" w:rsidP="006A0CD1">
      <w:pPr>
        <w:widowControl w:val="0"/>
        <w:spacing w:after="0" w:line="240" w:lineRule="auto"/>
        <w:jc w:val="both"/>
        <w:rPr>
          <w:rFonts w:ascii="Times New Roman" w:hAnsi="Times New Roman" w:cs="Times New Roman"/>
          <w:bCs/>
          <w:sz w:val="24"/>
          <w:szCs w:val="24"/>
        </w:rPr>
      </w:pPr>
    </w:p>
    <w:p w14:paraId="155BF1CA" w14:textId="00B07808" w:rsidR="00F52E86" w:rsidRPr="00D133C3" w:rsidRDefault="00F52E86" w:rsidP="00F52E86">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Table 3. Gene expression in tumor tissue (log2FC±SD)</w:t>
      </w:r>
    </w:p>
    <w:tbl>
      <w:tblPr>
        <w:tblStyle w:val="af7"/>
        <w:tblW w:w="0" w:type="auto"/>
        <w:tblLook w:val="04A0" w:firstRow="1" w:lastRow="0" w:firstColumn="1" w:lastColumn="0" w:noHBand="0" w:noVBand="1"/>
      </w:tblPr>
      <w:tblGrid>
        <w:gridCol w:w="2509"/>
        <w:gridCol w:w="1314"/>
        <w:gridCol w:w="1559"/>
        <w:gridCol w:w="1417"/>
        <w:gridCol w:w="1455"/>
        <w:gridCol w:w="1375"/>
      </w:tblGrid>
      <w:tr w:rsidR="00F52E86" w:rsidRPr="00D133C3" w14:paraId="0AFF561A" w14:textId="77777777" w:rsidTr="00042FD5">
        <w:tc>
          <w:tcPr>
            <w:tcW w:w="2509" w:type="dxa"/>
          </w:tcPr>
          <w:p w14:paraId="0357839D" w14:textId="77777777" w:rsidR="00F52E86" w:rsidRPr="00D133C3" w:rsidRDefault="00F52E86" w:rsidP="00042FD5">
            <w:pPr>
              <w:widowControl w:val="0"/>
              <w:spacing w:after="0" w:line="240" w:lineRule="auto"/>
              <w:rPr>
                <w:rFonts w:ascii="Times New Roman" w:hAnsi="Times New Roman" w:cs="Times New Roman"/>
                <w:b/>
                <w:bCs/>
                <w:color w:val="000000" w:themeColor="text1"/>
                <w:sz w:val="20"/>
                <w:szCs w:val="20"/>
                <w:lang w:bidi="fa-IR"/>
              </w:rPr>
            </w:pPr>
            <w:r w:rsidRPr="00D133C3">
              <w:rPr>
                <w:rFonts w:ascii="Times New Roman" w:hAnsi="Times New Roman" w:cs="Times New Roman"/>
                <w:sz w:val="20"/>
                <w:szCs w:val="20"/>
              </w:rPr>
              <w:t>Treatment regimen</w:t>
            </w:r>
          </w:p>
        </w:tc>
        <w:tc>
          <w:tcPr>
            <w:tcW w:w="1314" w:type="dxa"/>
          </w:tcPr>
          <w:p w14:paraId="4F60DE79" w14:textId="77777777" w:rsidR="00F52E86" w:rsidRPr="00D133C3" w:rsidRDefault="00F52E86" w:rsidP="00042FD5">
            <w:pPr>
              <w:widowControl w:val="0"/>
              <w:spacing w:after="0" w:line="240" w:lineRule="auto"/>
              <w:rPr>
                <w:rFonts w:ascii="Times New Roman" w:hAnsi="Times New Roman" w:cs="Times New Roman"/>
                <w:b/>
                <w:bCs/>
                <w:i/>
                <w:color w:val="000000" w:themeColor="text1"/>
                <w:sz w:val="20"/>
                <w:szCs w:val="20"/>
                <w:lang w:bidi="fa-IR"/>
              </w:rPr>
            </w:pPr>
            <w:r w:rsidRPr="00D133C3">
              <w:rPr>
                <w:rFonts w:ascii="Times New Roman" w:hAnsi="Times New Roman" w:cs="Times New Roman"/>
                <w:i/>
                <w:sz w:val="20"/>
                <w:szCs w:val="20"/>
              </w:rPr>
              <w:t>TP53</w:t>
            </w:r>
          </w:p>
        </w:tc>
        <w:tc>
          <w:tcPr>
            <w:tcW w:w="1559" w:type="dxa"/>
          </w:tcPr>
          <w:p w14:paraId="5243A9E3" w14:textId="77777777" w:rsidR="00F52E86" w:rsidRPr="00D133C3" w:rsidRDefault="00F52E86" w:rsidP="00042FD5">
            <w:pPr>
              <w:widowControl w:val="0"/>
              <w:spacing w:after="0" w:line="240" w:lineRule="auto"/>
              <w:rPr>
                <w:rFonts w:ascii="Times New Roman" w:hAnsi="Times New Roman" w:cs="Times New Roman"/>
                <w:b/>
                <w:bCs/>
                <w:i/>
                <w:color w:val="000000" w:themeColor="text1"/>
                <w:sz w:val="20"/>
                <w:szCs w:val="20"/>
                <w:lang w:bidi="fa-IR"/>
              </w:rPr>
            </w:pPr>
            <w:r w:rsidRPr="00D133C3">
              <w:rPr>
                <w:rFonts w:ascii="Times New Roman" w:hAnsi="Times New Roman" w:cs="Times New Roman"/>
                <w:i/>
                <w:sz w:val="20"/>
                <w:szCs w:val="20"/>
              </w:rPr>
              <w:t>MDM2</w:t>
            </w:r>
          </w:p>
        </w:tc>
        <w:tc>
          <w:tcPr>
            <w:tcW w:w="1417" w:type="dxa"/>
          </w:tcPr>
          <w:p w14:paraId="08D952D1" w14:textId="77777777" w:rsidR="00F52E86" w:rsidRPr="00D133C3" w:rsidRDefault="00F52E86" w:rsidP="00042FD5">
            <w:pPr>
              <w:widowControl w:val="0"/>
              <w:spacing w:after="0" w:line="240" w:lineRule="auto"/>
              <w:rPr>
                <w:rFonts w:ascii="Times New Roman" w:hAnsi="Times New Roman" w:cs="Times New Roman"/>
                <w:b/>
                <w:bCs/>
                <w:i/>
                <w:color w:val="000000" w:themeColor="text1"/>
                <w:sz w:val="20"/>
                <w:szCs w:val="20"/>
                <w:lang w:bidi="fa-IR"/>
              </w:rPr>
            </w:pPr>
            <w:r w:rsidRPr="00D133C3">
              <w:rPr>
                <w:rFonts w:ascii="Times New Roman" w:hAnsi="Times New Roman" w:cs="Times New Roman"/>
                <w:i/>
                <w:sz w:val="20"/>
                <w:szCs w:val="20"/>
              </w:rPr>
              <w:t>BAX</w:t>
            </w:r>
          </w:p>
        </w:tc>
        <w:tc>
          <w:tcPr>
            <w:tcW w:w="1455" w:type="dxa"/>
          </w:tcPr>
          <w:p w14:paraId="144ADE3E" w14:textId="77777777" w:rsidR="00F52E86" w:rsidRPr="00D133C3" w:rsidRDefault="00F52E86" w:rsidP="00042FD5">
            <w:pPr>
              <w:widowControl w:val="0"/>
              <w:spacing w:after="0" w:line="240" w:lineRule="auto"/>
              <w:rPr>
                <w:rFonts w:ascii="Times New Roman" w:hAnsi="Times New Roman" w:cs="Times New Roman"/>
                <w:b/>
                <w:bCs/>
                <w:i/>
                <w:color w:val="000000" w:themeColor="text1"/>
                <w:sz w:val="20"/>
                <w:szCs w:val="20"/>
                <w:lang w:bidi="fa-IR"/>
              </w:rPr>
            </w:pPr>
            <w:r w:rsidRPr="00D133C3">
              <w:rPr>
                <w:rFonts w:ascii="Times New Roman" w:hAnsi="Times New Roman" w:cs="Times New Roman"/>
                <w:i/>
                <w:sz w:val="20"/>
                <w:szCs w:val="20"/>
              </w:rPr>
              <w:t>BCL2</w:t>
            </w:r>
          </w:p>
        </w:tc>
        <w:tc>
          <w:tcPr>
            <w:tcW w:w="1375" w:type="dxa"/>
          </w:tcPr>
          <w:p w14:paraId="173C9A7C" w14:textId="77777777" w:rsidR="00F52E86" w:rsidRPr="00D133C3" w:rsidRDefault="00F52E86" w:rsidP="00042FD5">
            <w:pPr>
              <w:widowControl w:val="0"/>
              <w:spacing w:after="0" w:line="240" w:lineRule="auto"/>
              <w:rPr>
                <w:rFonts w:ascii="Times New Roman" w:hAnsi="Times New Roman" w:cs="Times New Roman"/>
                <w:b/>
                <w:bCs/>
                <w:i/>
                <w:color w:val="000000" w:themeColor="text1"/>
                <w:sz w:val="20"/>
                <w:szCs w:val="20"/>
                <w:lang w:bidi="fa-IR"/>
              </w:rPr>
            </w:pPr>
            <w:r w:rsidRPr="00D133C3">
              <w:rPr>
                <w:rFonts w:ascii="Times New Roman" w:hAnsi="Times New Roman" w:cs="Times New Roman"/>
                <w:i/>
                <w:sz w:val="20"/>
                <w:szCs w:val="20"/>
              </w:rPr>
              <w:t>CASP9</w:t>
            </w:r>
          </w:p>
        </w:tc>
      </w:tr>
      <w:tr w:rsidR="00F52E86" w:rsidRPr="00D133C3" w14:paraId="5DBB6F29" w14:textId="77777777" w:rsidTr="00042FD5">
        <w:tc>
          <w:tcPr>
            <w:tcW w:w="2509" w:type="dxa"/>
          </w:tcPr>
          <w:p w14:paraId="0096C8C4" w14:textId="77777777" w:rsidR="00F52E86" w:rsidRPr="00D133C3" w:rsidRDefault="00F52E86" w:rsidP="00042FD5">
            <w:pPr>
              <w:widowControl w:val="0"/>
              <w:spacing w:after="0" w:line="240" w:lineRule="auto"/>
              <w:rPr>
                <w:rFonts w:ascii="Times New Roman" w:hAnsi="Times New Roman" w:cs="Times New Roman"/>
                <w:b/>
                <w:bCs/>
                <w:color w:val="000000" w:themeColor="text1"/>
                <w:sz w:val="20"/>
                <w:szCs w:val="20"/>
                <w:lang w:bidi="fa-IR"/>
              </w:rPr>
            </w:pPr>
            <w:r w:rsidRPr="00D133C3">
              <w:rPr>
                <w:rFonts w:ascii="Times New Roman" w:hAnsi="Times New Roman" w:cs="Times New Roman"/>
                <w:sz w:val="20"/>
                <w:szCs w:val="20"/>
              </w:rPr>
              <w:t>TMZ (20 mg/kg)</w:t>
            </w:r>
          </w:p>
        </w:tc>
        <w:tc>
          <w:tcPr>
            <w:tcW w:w="1314" w:type="dxa"/>
          </w:tcPr>
          <w:p w14:paraId="33A0A5DA" w14:textId="77777777" w:rsidR="00F52E86" w:rsidRPr="00D133C3" w:rsidRDefault="00F52E86" w:rsidP="00042FD5">
            <w:pPr>
              <w:widowControl w:val="0"/>
              <w:spacing w:after="0" w:line="240" w:lineRule="auto"/>
              <w:rPr>
                <w:rFonts w:ascii="Times New Roman" w:hAnsi="Times New Roman" w:cs="Times New Roman"/>
                <w:b/>
                <w:bCs/>
                <w:color w:val="000000" w:themeColor="text1"/>
                <w:sz w:val="20"/>
                <w:szCs w:val="20"/>
                <w:lang w:bidi="fa-IR"/>
              </w:rPr>
            </w:pPr>
            <w:r w:rsidRPr="00D133C3">
              <w:rPr>
                <w:rFonts w:ascii="Times New Roman" w:hAnsi="Times New Roman" w:cs="Times New Roman"/>
                <w:sz w:val="20"/>
                <w:szCs w:val="20"/>
              </w:rPr>
              <w:t>0,26±0,23*</w:t>
            </w:r>
          </w:p>
        </w:tc>
        <w:tc>
          <w:tcPr>
            <w:tcW w:w="1559" w:type="dxa"/>
          </w:tcPr>
          <w:p w14:paraId="35075AD6" w14:textId="77777777" w:rsidR="00F52E86" w:rsidRPr="00D133C3" w:rsidRDefault="00F52E86" w:rsidP="00042FD5">
            <w:pPr>
              <w:widowControl w:val="0"/>
              <w:spacing w:after="0" w:line="240" w:lineRule="auto"/>
              <w:rPr>
                <w:rFonts w:ascii="Times New Roman" w:hAnsi="Times New Roman" w:cs="Times New Roman"/>
                <w:b/>
                <w:bCs/>
                <w:color w:val="000000" w:themeColor="text1"/>
                <w:sz w:val="20"/>
                <w:szCs w:val="20"/>
                <w:lang w:bidi="fa-IR"/>
              </w:rPr>
            </w:pPr>
            <w:r w:rsidRPr="00D133C3">
              <w:rPr>
                <w:rFonts w:ascii="Times New Roman" w:hAnsi="Times New Roman" w:cs="Times New Roman"/>
                <w:sz w:val="20"/>
                <w:szCs w:val="20"/>
              </w:rPr>
              <w:t>-0,62±0,23*</w:t>
            </w:r>
          </w:p>
        </w:tc>
        <w:tc>
          <w:tcPr>
            <w:tcW w:w="1417" w:type="dxa"/>
          </w:tcPr>
          <w:p w14:paraId="7634A363" w14:textId="77777777" w:rsidR="00F52E86" w:rsidRPr="00D133C3" w:rsidRDefault="00F52E86" w:rsidP="00042FD5">
            <w:pPr>
              <w:widowControl w:val="0"/>
              <w:spacing w:after="0" w:line="240" w:lineRule="auto"/>
              <w:rPr>
                <w:rFonts w:ascii="Times New Roman" w:hAnsi="Times New Roman" w:cs="Times New Roman"/>
                <w:b/>
                <w:bCs/>
                <w:color w:val="000000" w:themeColor="text1"/>
                <w:sz w:val="20"/>
                <w:szCs w:val="20"/>
                <w:lang w:bidi="fa-IR"/>
              </w:rPr>
            </w:pPr>
            <w:r w:rsidRPr="00D133C3">
              <w:rPr>
                <w:rFonts w:ascii="Times New Roman" w:hAnsi="Times New Roman" w:cs="Times New Roman"/>
                <w:sz w:val="20"/>
                <w:szCs w:val="20"/>
              </w:rPr>
              <w:t>0,14±0,30</w:t>
            </w:r>
          </w:p>
        </w:tc>
        <w:tc>
          <w:tcPr>
            <w:tcW w:w="1455" w:type="dxa"/>
          </w:tcPr>
          <w:p w14:paraId="5C6CF4C7" w14:textId="77777777" w:rsidR="00F52E86" w:rsidRPr="00D133C3" w:rsidRDefault="00F52E86" w:rsidP="00042FD5">
            <w:pPr>
              <w:widowControl w:val="0"/>
              <w:spacing w:after="0" w:line="240" w:lineRule="auto"/>
              <w:rPr>
                <w:rFonts w:ascii="Times New Roman" w:hAnsi="Times New Roman" w:cs="Times New Roman"/>
                <w:b/>
                <w:bCs/>
                <w:color w:val="000000" w:themeColor="text1"/>
                <w:sz w:val="20"/>
                <w:szCs w:val="20"/>
                <w:lang w:bidi="fa-IR"/>
              </w:rPr>
            </w:pPr>
            <w:r w:rsidRPr="00D133C3">
              <w:rPr>
                <w:rFonts w:ascii="Times New Roman" w:hAnsi="Times New Roman" w:cs="Times New Roman"/>
                <w:sz w:val="20"/>
                <w:szCs w:val="20"/>
              </w:rPr>
              <w:t>-0,15±0,28</w:t>
            </w:r>
          </w:p>
        </w:tc>
        <w:tc>
          <w:tcPr>
            <w:tcW w:w="1375" w:type="dxa"/>
          </w:tcPr>
          <w:p w14:paraId="5AF7566D" w14:textId="77777777" w:rsidR="00F52E86" w:rsidRPr="00D133C3" w:rsidRDefault="00F52E86" w:rsidP="00042FD5">
            <w:pPr>
              <w:widowControl w:val="0"/>
              <w:spacing w:after="0" w:line="240" w:lineRule="auto"/>
              <w:rPr>
                <w:rFonts w:ascii="Times New Roman" w:hAnsi="Times New Roman" w:cs="Times New Roman"/>
                <w:b/>
                <w:bCs/>
                <w:color w:val="000000" w:themeColor="text1"/>
                <w:sz w:val="20"/>
                <w:szCs w:val="20"/>
                <w:lang w:bidi="fa-IR"/>
              </w:rPr>
            </w:pPr>
            <w:r w:rsidRPr="00D133C3">
              <w:rPr>
                <w:rFonts w:ascii="Times New Roman" w:hAnsi="Times New Roman" w:cs="Times New Roman"/>
                <w:sz w:val="20"/>
                <w:szCs w:val="20"/>
              </w:rPr>
              <w:t>-0,07±0,22</w:t>
            </w:r>
          </w:p>
        </w:tc>
      </w:tr>
      <w:tr w:rsidR="00DB1938" w:rsidRPr="00D133C3" w14:paraId="5184F681" w14:textId="77777777" w:rsidTr="00042FD5">
        <w:tc>
          <w:tcPr>
            <w:tcW w:w="2509" w:type="dxa"/>
          </w:tcPr>
          <w:p w14:paraId="2CF08E50" w14:textId="0052C25C" w:rsidR="00DB1938" w:rsidRPr="00D133C3" w:rsidRDefault="00DB1938" w:rsidP="00DB1938">
            <w:pPr>
              <w:widowControl w:val="0"/>
              <w:spacing w:after="0" w:line="240" w:lineRule="auto"/>
              <w:rPr>
                <w:rFonts w:ascii="Times New Roman" w:hAnsi="Times New Roman" w:cs="Times New Roman"/>
                <w:sz w:val="20"/>
                <w:szCs w:val="20"/>
              </w:rPr>
            </w:pPr>
            <w:r w:rsidRPr="00D133C3">
              <w:rPr>
                <w:rFonts w:ascii="Times New Roman" w:hAnsi="Times New Roman" w:cs="Times New Roman"/>
                <w:sz w:val="20"/>
                <w:szCs w:val="20"/>
              </w:rPr>
              <w:t>JO-122(2) (60 mg/kg)</w:t>
            </w:r>
          </w:p>
        </w:tc>
        <w:tc>
          <w:tcPr>
            <w:tcW w:w="1314" w:type="dxa"/>
          </w:tcPr>
          <w:p w14:paraId="23905C32" w14:textId="01F6FA20" w:rsidR="00DB1938" w:rsidRPr="00D133C3" w:rsidRDefault="00DB1938" w:rsidP="00DB1938">
            <w:pPr>
              <w:widowControl w:val="0"/>
              <w:spacing w:after="0" w:line="240" w:lineRule="auto"/>
              <w:rPr>
                <w:rFonts w:ascii="Times New Roman" w:hAnsi="Times New Roman" w:cs="Times New Roman"/>
                <w:sz w:val="20"/>
                <w:szCs w:val="20"/>
              </w:rPr>
            </w:pPr>
            <w:r w:rsidRPr="00D133C3">
              <w:rPr>
                <w:rFonts w:ascii="Times New Roman" w:hAnsi="Times New Roman" w:cs="Times New Roman"/>
                <w:sz w:val="20"/>
                <w:szCs w:val="20"/>
              </w:rPr>
              <w:t>0,42±0,23*</w:t>
            </w:r>
          </w:p>
        </w:tc>
        <w:tc>
          <w:tcPr>
            <w:tcW w:w="1559" w:type="dxa"/>
          </w:tcPr>
          <w:p w14:paraId="742DA86D" w14:textId="7AE641AA" w:rsidR="00DB1938" w:rsidRPr="00D133C3" w:rsidRDefault="00DB1938" w:rsidP="00DB1938">
            <w:pPr>
              <w:widowControl w:val="0"/>
              <w:spacing w:after="0" w:line="240" w:lineRule="auto"/>
              <w:rPr>
                <w:rFonts w:ascii="Times New Roman" w:hAnsi="Times New Roman" w:cs="Times New Roman"/>
                <w:sz w:val="20"/>
                <w:szCs w:val="20"/>
              </w:rPr>
            </w:pPr>
            <w:r w:rsidRPr="00D133C3">
              <w:rPr>
                <w:rFonts w:ascii="Times New Roman" w:hAnsi="Times New Roman" w:cs="Times New Roman"/>
                <w:sz w:val="20"/>
                <w:szCs w:val="20"/>
              </w:rPr>
              <w:t>-1,25±0,30*·</w:t>
            </w:r>
          </w:p>
        </w:tc>
        <w:tc>
          <w:tcPr>
            <w:tcW w:w="1417" w:type="dxa"/>
          </w:tcPr>
          <w:p w14:paraId="16A35BA1" w14:textId="6E720D21" w:rsidR="00DB1938" w:rsidRPr="00D133C3" w:rsidRDefault="00DB1938" w:rsidP="00DB1938">
            <w:pPr>
              <w:widowControl w:val="0"/>
              <w:spacing w:after="0" w:line="240" w:lineRule="auto"/>
              <w:rPr>
                <w:rFonts w:ascii="Times New Roman" w:hAnsi="Times New Roman" w:cs="Times New Roman"/>
                <w:sz w:val="20"/>
                <w:szCs w:val="20"/>
              </w:rPr>
            </w:pPr>
            <w:r w:rsidRPr="00D133C3">
              <w:rPr>
                <w:rFonts w:ascii="Times New Roman" w:hAnsi="Times New Roman" w:cs="Times New Roman"/>
                <w:sz w:val="20"/>
                <w:szCs w:val="20"/>
              </w:rPr>
              <w:t>0,77±0,25*·</w:t>
            </w:r>
          </w:p>
        </w:tc>
        <w:tc>
          <w:tcPr>
            <w:tcW w:w="1455" w:type="dxa"/>
          </w:tcPr>
          <w:p w14:paraId="13FEF70C" w14:textId="286EAB0B" w:rsidR="00DB1938" w:rsidRPr="00D133C3" w:rsidRDefault="00DB1938" w:rsidP="00DB1938">
            <w:pPr>
              <w:widowControl w:val="0"/>
              <w:spacing w:after="0" w:line="240" w:lineRule="auto"/>
              <w:rPr>
                <w:rFonts w:ascii="Times New Roman" w:hAnsi="Times New Roman" w:cs="Times New Roman"/>
                <w:sz w:val="20"/>
                <w:szCs w:val="20"/>
              </w:rPr>
            </w:pPr>
            <w:r w:rsidRPr="00D133C3">
              <w:rPr>
                <w:rFonts w:ascii="Times New Roman" w:hAnsi="Times New Roman" w:cs="Times New Roman"/>
                <w:sz w:val="20"/>
                <w:szCs w:val="20"/>
              </w:rPr>
              <w:t>-1,34±0,35*·</w:t>
            </w:r>
          </w:p>
        </w:tc>
        <w:tc>
          <w:tcPr>
            <w:tcW w:w="1375" w:type="dxa"/>
          </w:tcPr>
          <w:p w14:paraId="37584CBE" w14:textId="38A488CF" w:rsidR="00DB1938" w:rsidRPr="00D133C3" w:rsidRDefault="00DB1938" w:rsidP="00DB1938">
            <w:pPr>
              <w:widowControl w:val="0"/>
              <w:spacing w:after="0" w:line="240" w:lineRule="auto"/>
              <w:rPr>
                <w:rFonts w:ascii="Times New Roman" w:hAnsi="Times New Roman" w:cs="Times New Roman"/>
                <w:sz w:val="20"/>
                <w:szCs w:val="20"/>
              </w:rPr>
            </w:pPr>
            <w:r w:rsidRPr="00D133C3">
              <w:rPr>
                <w:rFonts w:ascii="Times New Roman" w:hAnsi="Times New Roman" w:cs="Times New Roman"/>
                <w:sz w:val="20"/>
                <w:szCs w:val="20"/>
              </w:rPr>
              <w:t>0,07±0,23</w:t>
            </w:r>
          </w:p>
        </w:tc>
      </w:tr>
      <w:tr w:rsidR="00DB1938" w:rsidRPr="00D133C3" w14:paraId="477E40D3" w14:textId="77777777" w:rsidTr="00042FD5">
        <w:tc>
          <w:tcPr>
            <w:tcW w:w="2509" w:type="dxa"/>
          </w:tcPr>
          <w:p w14:paraId="7AA45062" w14:textId="77777777" w:rsidR="00DB1938" w:rsidRPr="00D133C3" w:rsidRDefault="00DB1938" w:rsidP="00DB1938">
            <w:pPr>
              <w:widowControl w:val="0"/>
              <w:spacing w:after="0" w:line="240" w:lineRule="auto"/>
              <w:rPr>
                <w:rFonts w:ascii="Times New Roman" w:hAnsi="Times New Roman" w:cs="Times New Roman"/>
                <w:b/>
                <w:bCs/>
                <w:color w:val="000000" w:themeColor="text1"/>
                <w:sz w:val="20"/>
                <w:szCs w:val="20"/>
                <w:lang w:bidi="fa-IR"/>
              </w:rPr>
            </w:pPr>
            <w:r w:rsidRPr="00D133C3">
              <w:rPr>
                <w:rFonts w:ascii="Times New Roman" w:hAnsi="Times New Roman" w:cs="Times New Roman"/>
                <w:sz w:val="20"/>
                <w:szCs w:val="20"/>
              </w:rPr>
              <w:t>JO-122(2) (60 mg/kg) + TMZ (20 mg/kg)</w:t>
            </w:r>
          </w:p>
        </w:tc>
        <w:tc>
          <w:tcPr>
            <w:tcW w:w="1314" w:type="dxa"/>
          </w:tcPr>
          <w:p w14:paraId="0CACAD4D" w14:textId="77777777" w:rsidR="00DB1938" w:rsidRPr="00D133C3" w:rsidRDefault="00DB1938" w:rsidP="00DB1938">
            <w:pPr>
              <w:widowControl w:val="0"/>
              <w:spacing w:after="0" w:line="240" w:lineRule="auto"/>
              <w:rPr>
                <w:rFonts w:ascii="Times New Roman" w:hAnsi="Times New Roman" w:cs="Times New Roman"/>
                <w:b/>
                <w:bCs/>
                <w:color w:val="000000" w:themeColor="text1"/>
                <w:sz w:val="20"/>
                <w:szCs w:val="20"/>
                <w:lang w:bidi="fa-IR"/>
              </w:rPr>
            </w:pPr>
            <w:r w:rsidRPr="00D133C3">
              <w:rPr>
                <w:rFonts w:ascii="Times New Roman" w:hAnsi="Times New Roman" w:cs="Times New Roman"/>
                <w:sz w:val="20"/>
                <w:szCs w:val="20"/>
              </w:rPr>
              <w:t>0,49±0,28*</w:t>
            </w:r>
          </w:p>
        </w:tc>
        <w:tc>
          <w:tcPr>
            <w:tcW w:w="1559" w:type="dxa"/>
          </w:tcPr>
          <w:p w14:paraId="57811373" w14:textId="77777777" w:rsidR="00DB1938" w:rsidRPr="00D133C3" w:rsidRDefault="00DB1938" w:rsidP="00DB1938">
            <w:pPr>
              <w:widowControl w:val="0"/>
              <w:spacing w:after="0" w:line="240" w:lineRule="auto"/>
              <w:rPr>
                <w:rFonts w:ascii="Times New Roman" w:hAnsi="Times New Roman" w:cs="Times New Roman"/>
                <w:b/>
                <w:bCs/>
                <w:color w:val="000000" w:themeColor="text1"/>
                <w:sz w:val="20"/>
                <w:szCs w:val="20"/>
                <w:lang w:bidi="fa-IR"/>
              </w:rPr>
            </w:pPr>
            <w:r w:rsidRPr="00D133C3">
              <w:rPr>
                <w:rFonts w:ascii="Times New Roman" w:hAnsi="Times New Roman" w:cs="Times New Roman"/>
                <w:sz w:val="20"/>
                <w:szCs w:val="20"/>
              </w:rPr>
              <w:t>-1,51±0,36*·</w:t>
            </w:r>
          </w:p>
        </w:tc>
        <w:tc>
          <w:tcPr>
            <w:tcW w:w="1417" w:type="dxa"/>
          </w:tcPr>
          <w:p w14:paraId="0DD410A0" w14:textId="77777777" w:rsidR="00DB1938" w:rsidRPr="00D133C3" w:rsidRDefault="00DB1938" w:rsidP="00DB1938">
            <w:pPr>
              <w:widowControl w:val="0"/>
              <w:spacing w:after="0" w:line="240" w:lineRule="auto"/>
              <w:rPr>
                <w:rFonts w:ascii="Times New Roman" w:hAnsi="Times New Roman" w:cs="Times New Roman"/>
                <w:b/>
                <w:bCs/>
                <w:color w:val="000000" w:themeColor="text1"/>
                <w:sz w:val="20"/>
                <w:szCs w:val="20"/>
                <w:lang w:bidi="fa-IR"/>
              </w:rPr>
            </w:pPr>
            <w:r w:rsidRPr="00D133C3">
              <w:rPr>
                <w:rFonts w:ascii="Times New Roman" w:hAnsi="Times New Roman" w:cs="Times New Roman"/>
                <w:sz w:val="20"/>
                <w:szCs w:val="20"/>
              </w:rPr>
              <w:t>0,89±0,25*·</w:t>
            </w:r>
          </w:p>
        </w:tc>
        <w:tc>
          <w:tcPr>
            <w:tcW w:w="1455" w:type="dxa"/>
          </w:tcPr>
          <w:p w14:paraId="1B8E888B" w14:textId="77777777" w:rsidR="00DB1938" w:rsidRPr="00D133C3" w:rsidRDefault="00DB1938" w:rsidP="00DB1938">
            <w:pPr>
              <w:widowControl w:val="0"/>
              <w:spacing w:after="0" w:line="240" w:lineRule="auto"/>
              <w:rPr>
                <w:rFonts w:ascii="Times New Roman" w:hAnsi="Times New Roman" w:cs="Times New Roman"/>
                <w:b/>
                <w:bCs/>
                <w:color w:val="000000" w:themeColor="text1"/>
                <w:sz w:val="20"/>
                <w:szCs w:val="20"/>
                <w:lang w:bidi="fa-IR"/>
              </w:rPr>
            </w:pPr>
            <w:r w:rsidRPr="00D133C3">
              <w:rPr>
                <w:rFonts w:ascii="Times New Roman" w:hAnsi="Times New Roman" w:cs="Times New Roman"/>
                <w:sz w:val="20"/>
                <w:szCs w:val="20"/>
              </w:rPr>
              <w:t>-1,74±0,42*·</w:t>
            </w:r>
          </w:p>
        </w:tc>
        <w:tc>
          <w:tcPr>
            <w:tcW w:w="1375" w:type="dxa"/>
          </w:tcPr>
          <w:p w14:paraId="4618FBBC" w14:textId="77777777" w:rsidR="00DB1938" w:rsidRPr="00D133C3" w:rsidRDefault="00DB1938" w:rsidP="00DB1938">
            <w:pPr>
              <w:widowControl w:val="0"/>
              <w:spacing w:after="0" w:line="240" w:lineRule="auto"/>
              <w:rPr>
                <w:rFonts w:ascii="Times New Roman" w:hAnsi="Times New Roman" w:cs="Times New Roman"/>
                <w:b/>
                <w:bCs/>
                <w:color w:val="000000" w:themeColor="text1"/>
                <w:sz w:val="20"/>
                <w:szCs w:val="20"/>
                <w:lang w:bidi="fa-IR"/>
              </w:rPr>
            </w:pPr>
            <w:r w:rsidRPr="00D133C3">
              <w:rPr>
                <w:rFonts w:ascii="Times New Roman" w:hAnsi="Times New Roman" w:cs="Times New Roman"/>
                <w:sz w:val="20"/>
                <w:szCs w:val="20"/>
              </w:rPr>
              <w:t>0,27±0,23*·</w:t>
            </w:r>
          </w:p>
        </w:tc>
      </w:tr>
    </w:tbl>
    <w:p w14:paraId="7006BFE5" w14:textId="41A50B83" w:rsidR="00F52E86" w:rsidRDefault="00DB1938" w:rsidP="00F52E86">
      <w:pPr>
        <w:widowControl w:val="0"/>
        <w:spacing w:after="0" w:line="240" w:lineRule="auto"/>
        <w:jc w:val="both"/>
        <w:rPr>
          <w:rFonts w:ascii="Times New Roman" w:hAnsi="Times New Roman" w:cs="Times New Roman"/>
          <w:bCs/>
          <w:color w:val="000000" w:themeColor="text1"/>
          <w:sz w:val="24"/>
          <w:szCs w:val="24"/>
          <w:lang w:bidi="fa-IR"/>
        </w:rPr>
      </w:pPr>
      <w:r w:rsidRPr="00D133C3">
        <w:rPr>
          <w:rFonts w:ascii="Times New Roman" w:hAnsi="Times New Roman" w:cs="Times New Roman"/>
          <w:bCs/>
          <w:color w:val="000000" w:themeColor="text1"/>
          <w:sz w:val="24"/>
          <w:szCs w:val="24"/>
          <w:lang w:bidi="fa-IR"/>
        </w:rPr>
        <w:t>Note: * p &lt; 0.0083 vs. control; · p &lt; 0.0083</w:t>
      </w:r>
      <w:r w:rsidR="00F52E86" w:rsidRPr="00D133C3">
        <w:rPr>
          <w:rFonts w:ascii="Times New Roman" w:hAnsi="Times New Roman" w:cs="Times New Roman"/>
          <w:bCs/>
          <w:color w:val="000000" w:themeColor="text1"/>
          <w:sz w:val="24"/>
          <w:szCs w:val="24"/>
          <w:lang w:bidi="fa-IR"/>
        </w:rPr>
        <w:t xml:space="preserve"> vs. TMZ alone.</w:t>
      </w:r>
    </w:p>
    <w:sectPr w:rsidR="00F52E86" w:rsidSect="008425DA">
      <w:footerReference w:type="even" r:id="rId9"/>
      <w:footerReference w:type="default" r:id="rId10"/>
      <w:footerReference w:type="first" r:id="rId11"/>
      <w:type w:val="continuous"/>
      <w:pgSz w:w="11907" w:h="16840" w:code="9"/>
      <w:pgMar w:top="1134" w:right="1134" w:bottom="1134" w:left="1134" w:header="1021" w:footer="1021" w:gutter="0"/>
      <w:lnNumType w:countBy="1" w:restart="continuous"/>
      <w:cols w:space="397"/>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1D3D9E" w14:textId="77777777" w:rsidR="000F6D1D" w:rsidRDefault="000F6D1D" w:rsidP="00805CD7">
      <w:pPr>
        <w:spacing w:after="0" w:line="240" w:lineRule="auto"/>
      </w:pPr>
      <w:r>
        <w:separator/>
      </w:r>
    </w:p>
  </w:endnote>
  <w:endnote w:type="continuationSeparator" w:id="0">
    <w:p w14:paraId="165CCF26" w14:textId="77777777" w:rsidR="000F6D1D" w:rsidRDefault="000F6D1D" w:rsidP="00805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Minion Pro">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1148023"/>
      <w:docPartObj>
        <w:docPartGallery w:val="Page Numbers (Bottom of Page)"/>
        <w:docPartUnique/>
      </w:docPartObj>
    </w:sdtPr>
    <w:sdtEndPr>
      <w:rPr>
        <w:noProof/>
      </w:rPr>
    </w:sdtEndPr>
    <w:sdtContent>
      <w:p w14:paraId="7A52EE5C" w14:textId="755C9596" w:rsidR="008425DA" w:rsidRDefault="008425DA">
        <w:pPr>
          <w:pStyle w:val="af3"/>
          <w:jc w:val="center"/>
        </w:pPr>
        <w:r>
          <w:fldChar w:fldCharType="begin"/>
        </w:r>
        <w:r>
          <w:instrText xml:space="preserve"> PAGE   \* MERGEFORMAT </w:instrText>
        </w:r>
        <w:r>
          <w:fldChar w:fldCharType="separate"/>
        </w:r>
        <w:r w:rsidR="002B6748">
          <w:rPr>
            <w:noProof/>
          </w:rPr>
          <w:t>10</w:t>
        </w:r>
        <w:r>
          <w:rPr>
            <w:noProof/>
          </w:rPr>
          <w:fldChar w:fldCharType="end"/>
        </w:r>
      </w:p>
    </w:sdtContent>
  </w:sdt>
  <w:p w14:paraId="34247895" w14:textId="77777777" w:rsidR="00191EA6" w:rsidRPr="008425DA" w:rsidRDefault="00191EA6" w:rsidP="008425DA">
    <w:pPr>
      <w:pStyle w:val="af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7508035"/>
      <w:docPartObj>
        <w:docPartGallery w:val="Page Numbers (Bottom of Page)"/>
        <w:docPartUnique/>
      </w:docPartObj>
    </w:sdtPr>
    <w:sdtEndPr>
      <w:rPr>
        <w:noProof/>
      </w:rPr>
    </w:sdtEndPr>
    <w:sdtContent>
      <w:p w14:paraId="0E205229" w14:textId="36BD454D" w:rsidR="00E4187C" w:rsidRDefault="00E4187C">
        <w:pPr>
          <w:pStyle w:val="af3"/>
          <w:jc w:val="center"/>
        </w:pPr>
        <w:r>
          <w:fldChar w:fldCharType="begin"/>
        </w:r>
        <w:r>
          <w:instrText xml:space="preserve"> PAGE   \* MERGEFORMAT </w:instrText>
        </w:r>
        <w:r>
          <w:fldChar w:fldCharType="separate"/>
        </w:r>
        <w:r w:rsidR="002B6748">
          <w:rPr>
            <w:noProof/>
          </w:rPr>
          <w:t>9</w:t>
        </w:r>
        <w:r>
          <w:rPr>
            <w:noProof/>
          </w:rPr>
          <w:fldChar w:fldCharType="end"/>
        </w:r>
      </w:p>
    </w:sdtContent>
  </w:sdt>
  <w:p w14:paraId="5ACFA3C2" w14:textId="77777777" w:rsidR="00191EA6" w:rsidRPr="00E4187C" w:rsidRDefault="00191EA6" w:rsidP="00E4187C">
    <w:pPr>
      <w:pStyle w:val="af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790742"/>
      <w:docPartObj>
        <w:docPartGallery w:val="Page Numbers (Bottom of Page)"/>
        <w:docPartUnique/>
      </w:docPartObj>
    </w:sdtPr>
    <w:sdtEndPr>
      <w:rPr>
        <w:noProof/>
      </w:rPr>
    </w:sdtEndPr>
    <w:sdtContent>
      <w:p w14:paraId="0DEF251D" w14:textId="4397D305" w:rsidR="008425DA" w:rsidRDefault="008425DA">
        <w:pPr>
          <w:pStyle w:val="af3"/>
          <w:jc w:val="center"/>
        </w:pPr>
        <w:r>
          <w:fldChar w:fldCharType="begin"/>
        </w:r>
        <w:r>
          <w:instrText xml:space="preserve"> PAGE   \* MERGEFORMAT </w:instrText>
        </w:r>
        <w:r>
          <w:fldChar w:fldCharType="separate"/>
        </w:r>
        <w:r w:rsidR="002B6748">
          <w:rPr>
            <w:noProof/>
          </w:rPr>
          <w:t>1</w:t>
        </w:r>
        <w:r>
          <w:rPr>
            <w:noProof/>
          </w:rPr>
          <w:fldChar w:fldCharType="end"/>
        </w:r>
      </w:p>
    </w:sdtContent>
  </w:sdt>
  <w:p w14:paraId="3246B8E6" w14:textId="77777777" w:rsidR="008425DA" w:rsidRDefault="008425DA">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05ECBA" w14:textId="77777777" w:rsidR="000F6D1D" w:rsidRDefault="000F6D1D" w:rsidP="00805CD7">
      <w:pPr>
        <w:spacing w:after="0" w:line="240" w:lineRule="auto"/>
      </w:pPr>
      <w:r>
        <w:separator/>
      </w:r>
    </w:p>
  </w:footnote>
  <w:footnote w:type="continuationSeparator" w:id="0">
    <w:p w14:paraId="5E4E99AE" w14:textId="77777777" w:rsidR="000F6D1D" w:rsidRDefault="000F6D1D" w:rsidP="00805C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A1A11"/>
    <w:multiLevelType w:val="multilevel"/>
    <w:tmpl w:val="566258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076169"/>
    <w:multiLevelType w:val="hybridMultilevel"/>
    <w:tmpl w:val="7278F578"/>
    <w:lvl w:ilvl="0" w:tplc="0409000F">
      <w:start w:val="1"/>
      <w:numFmt w:val="decimal"/>
      <w:lvlText w:val="%1."/>
      <w:lvlJc w:val="left"/>
      <w:pPr>
        <w:ind w:left="4613" w:hanging="360"/>
      </w:pPr>
    </w:lvl>
    <w:lvl w:ilvl="1" w:tplc="04090019" w:tentative="1">
      <w:start w:val="1"/>
      <w:numFmt w:val="lowerLetter"/>
      <w:lvlText w:val="%2."/>
      <w:lvlJc w:val="left"/>
      <w:pPr>
        <w:ind w:left="5333" w:hanging="360"/>
      </w:pPr>
    </w:lvl>
    <w:lvl w:ilvl="2" w:tplc="0409001B" w:tentative="1">
      <w:start w:val="1"/>
      <w:numFmt w:val="lowerRoman"/>
      <w:lvlText w:val="%3."/>
      <w:lvlJc w:val="right"/>
      <w:pPr>
        <w:ind w:left="6053" w:hanging="180"/>
      </w:pPr>
    </w:lvl>
    <w:lvl w:ilvl="3" w:tplc="0409000F" w:tentative="1">
      <w:start w:val="1"/>
      <w:numFmt w:val="decimal"/>
      <w:lvlText w:val="%4."/>
      <w:lvlJc w:val="left"/>
      <w:pPr>
        <w:ind w:left="6773" w:hanging="360"/>
      </w:pPr>
    </w:lvl>
    <w:lvl w:ilvl="4" w:tplc="04090019" w:tentative="1">
      <w:start w:val="1"/>
      <w:numFmt w:val="lowerLetter"/>
      <w:lvlText w:val="%5."/>
      <w:lvlJc w:val="left"/>
      <w:pPr>
        <w:ind w:left="7493" w:hanging="360"/>
      </w:pPr>
    </w:lvl>
    <w:lvl w:ilvl="5" w:tplc="0409001B" w:tentative="1">
      <w:start w:val="1"/>
      <w:numFmt w:val="lowerRoman"/>
      <w:lvlText w:val="%6."/>
      <w:lvlJc w:val="right"/>
      <w:pPr>
        <w:ind w:left="8213" w:hanging="180"/>
      </w:pPr>
    </w:lvl>
    <w:lvl w:ilvl="6" w:tplc="0409000F" w:tentative="1">
      <w:start w:val="1"/>
      <w:numFmt w:val="decimal"/>
      <w:lvlText w:val="%7."/>
      <w:lvlJc w:val="left"/>
      <w:pPr>
        <w:ind w:left="8933" w:hanging="360"/>
      </w:pPr>
    </w:lvl>
    <w:lvl w:ilvl="7" w:tplc="04090019" w:tentative="1">
      <w:start w:val="1"/>
      <w:numFmt w:val="lowerLetter"/>
      <w:lvlText w:val="%8."/>
      <w:lvlJc w:val="left"/>
      <w:pPr>
        <w:ind w:left="9653" w:hanging="360"/>
      </w:pPr>
    </w:lvl>
    <w:lvl w:ilvl="8" w:tplc="0409001B" w:tentative="1">
      <w:start w:val="1"/>
      <w:numFmt w:val="lowerRoman"/>
      <w:lvlText w:val="%9."/>
      <w:lvlJc w:val="right"/>
      <w:pPr>
        <w:ind w:left="10373" w:hanging="180"/>
      </w:pPr>
    </w:lvl>
  </w:abstractNum>
  <w:abstractNum w:abstractNumId="2" w15:restartNumberingAfterBreak="0">
    <w:nsid w:val="0FF00F56"/>
    <w:multiLevelType w:val="hybridMultilevel"/>
    <w:tmpl w:val="286031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EB485D"/>
    <w:multiLevelType w:val="multilevel"/>
    <w:tmpl w:val="AC8CE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DD748E"/>
    <w:multiLevelType w:val="hybridMultilevel"/>
    <w:tmpl w:val="39C0E5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8774A25"/>
    <w:multiLevelType w:val="hybridMultilevel"/>
    <w:tmpl w:val="72B27D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5E352D"/>
    <w:multiLevelType w:val="hybridMultilevel"/>
    <w:tmpl w:val="7146F0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5216500"/>
    <w:multiLevelType w:val="hybridMultilevel"/>
    <w:tmpl w:val="CDF24954"/>
    <w:lvl w:ilvl="0" w:tplc="93021784">
      <w:start w:val="1"/>
      <w:numFmt w:val="decimal"/>
      <w:lvlText w:val="%1."/>
      <w:lvlJc w:val="left"/>
      <w:pPr>
        <w:ind w:left="80" w:hanging="360"/>
      </w:pPr>
      <w:rPr>
        <w:i w:val="0"/>
      </w:rPr>
    </w:lvl>
    <w:lvl w:ilvl="1" w:tplc="04090019" w:tentative="1">
      <w:start w:val="1"/>
      <w:numFmt w:val="lowerLetter"/>
      <w:lvlText w:val="%2."/>
      <w:lvlJc w:val="left"/>
      <w:pPr>
        <w:ind w:left="800" w:hanging="360"/>
      </w:pPr>
    </w:lvl>
    <w:lvl w:ilvl="2" w:tplc="0409001B" w:tentative="1">
      <w:start w:val="1"/>
      <w:numFmt w:val="lowerRoman"/>
      <w:lvlText w:val="%3."/>
      <w:lvlJc w:val="right"/>
      <w:pPr>
        <w:ind w:left="1520" w:hanging="180"/>
      </w:pPr>
    </w:lvl>
    <w:lvl w:ilvl="3" w:tplc="0409000F" w:tentative="1">
      <w:start w:val="1"/>
      <w:numFmt w:val="decimal"/>
      <w:lvlText w:val="%4."/>
      <w:lvlJc w:val="left"/>
      <w:pPr>
        <w:ind w:left="2240" w:hanging="360"/>
      </w:pPr>
    </w:lvl>
    <w:lvl w:ilvl="4" w:tplc="04090019" w:tentative="1">
      <w:start w:val="1"/>
      <w:numFmt w:val="lowerLetter"/>
      <w:lvlText w:val="%5."/>
      <w:lvlJc w:val="left"/>
      <w:pPr>
        <w:ind w:left="2960" w:hanging="360"/>
      </w:pPr>
    </w:lvl>
    <w:lvl w:ilvl="5" w:tplc="0409001B" w:tentative="1">
      <w:start w:val="1"/>
      <w:numFmt w:val="lowerRoman"/>
      <w:lvlText w:val="%6."/>
      <w:lvlJc w:val="right"/>
      <w:pPr>
        <w:ind w:left="3680" w:hanging="180"/>
      </w:pPr>
    </w:lvl>
    <w:lvl w:ilvl="6" w:tplc="0409000F" w:tentative="1">
      <w:start w:val="1"/>
      <w:numFmt w:val="decimal"/>
      <w:lvlText w:val="%7."/>
      <w:lvlJc w:val="left"/>
      <w:pPr>
        <w:ind w:left="4400" w:hanging="360"/>
      </w:pPr>
    </w:lvl>
    <w:lvl w:ilvl="7" w:tplc="04090019" w:tentative="1">
      <w:start w:val="1"/>
      <w:numFmt w:val="lowerLetter"/>
      <w:lvlText w:val="%8."/>
      <w:lvlJc w:val="left"/>
      <w:pPr>
        <w:ind w:left="5120" w:hanging="360"/>
      </w:pPr>
    </w:lvl>
    <w:lvl w:ilvl="8" w:tplc="0409001B" w:tentative="1">
      <w:start w:val="1"/>
      <w:numFmt w:val="lowerRoman"/>
      <w:lvlText w:val="%9."/>
      <w:lvlJc w:val="right"/>
      <w:pPr>
        <w:ind w:left="5840" w:hanging="180"/>
      </w:pPr>
    </w:lvl>
  </w:abstractNum>
  <w:abstractNum w:abstractNumId="8" w15:restartNumberingAfterBreak="0">
    <w:nsid w:val="3DF649C1"/>
    <w:multiLevelType w:val="hybridMultilevel"/>
    <w:tmpl w:val="1678423A"/>
    <w:lvl w:ilvl="0" w:tplc="17E2C16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5370AD"/>
    <w:multiLevelType w:val="multilevel"/>
    <w:tmpl w:val="B64E6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BA1D0D"/>
    <w:multiLevelType w:val="multilevel"/>
    <w:tmpl w:val="60BEC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C36087"/>
    <w:multiLevelType w:val="hybridMultilevel"/>
    <w:tmpl w:val="CF70A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DA79CB"/>
    <w:multiLevelType w:val="hybridMultilevel"/>
    <w:tmpl w:val="0C72C0B0"/>
    <w:lvl w:ilvl="0" w:tplc="15D4C6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D90D6A"/>
    <w:multiLevelType w:val="hybridMultilevel"/>
    <w:tmpl w:val="BE7AD3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B4F5311"/>
    <w:multiLevelType w:val="hybridMultilevel"/>
    <w:tmpl w:val="EF9EF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D538D9"/>
    <w:multiLevelType w:val="hybridMultilevel"/>
    <w:tmpl w:val="39CEF9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5"/>
  </w:num>
  <w:num w:numId="3">
    <w:abstractNumId w:val="2"/>
  </w:num>
  <w:num w:numId="4">
    <w:abstractNumId w:val="8"/>
  </w:num>
  <w:num w:numId="5">
    <w:abstractNumId w:val="12"/>
  </w:num>
  <w:num w:numId="6">
    <w:abstractNumId w:val="10"/>
  </w:num>
  <w:num w:numId="7">
    <w:abstractNumId w:val="9"/>
  </w:num>
  <w:num w:numId="8">
    <w:abstractNumId w:val="3"/>
  </w:num>
  <w:num w:numId="9">
    <w:abstractNumId w:val="0"/>
  </w:num>
  <w:num w:numId="10">
    <w:abstractNumId w:val="14"/>
  </w:num>
  <w:num w:numId="11">
    <w:abstractNumId w:val="1"/>
  </w:num>
  <w:num w:numId="12">
    <w:abstractNumId w:val="11"/>
  </w:num>
  <w:num w:numId="13">
    <w:abstractNumId w:val="5"/>
  </w:num>
  <w:num w:numId="14">
    <w:abstractNumId w:val="4"/>
  </w:num>
  <w:num w:numId="15">
    <w:abstractNumId w:val="1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7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D56"/>
    <w:rsid w:val="00000168"/>
    <w:rsid w:val="00003078"/>
    <w:rsid w:val="0000397B"/>
    <w:rsid w:val="00004957"/>
    <w:rsid w:val="00006F0D"/>
    <w:rsid w:val="00010D67"/>
    <w:rsid w:val="000128D3"/>
    <w:rsid w:val="00027363"/>
    <w:rsid w:val="00027ECE"/>
    <w:rsid w:val="00032827"/>
    <w:rsid w:val="000343CE"/>
    <w:rsid w:val="00037C34"/>
    <w:rsid w:val="00041048"/>
    <w:rsid w:val="00041EEB"/>
    <w:rsid w:val="00042FD5"/>
    <w:rsid w:val="000431D7"/>
    <w:rsid w:val="000464DD"/>
    <w:rsid w:val="000476D0"/>
    <w:rsid w:val="000524DE"/>
    <w:rsid w:val="00053BA0"/>
    <w:rsid w:val="000543CA"/>
    <w:rsid w:val="00054FF5"/>
    <w:rsid w:val="00066E3A"/>
    <w:rsid w:val="0007000A"/>
    <w:rsid w:val="000713E3"/>
    <w:rsid w:val="000764F2"/>
    <w:rsid w:val="00076E93"/>
    <w:rsid w:val="0007789C"/>
    <w:rsid w:val="000807E0"/>
    <w:rsid w:val="00081F29"/>
    <w:rsid w:val="000826B6"/>
    <w:rsid w:val="00083494"/>
    <w:rsid w:val="00084439"/>
    <w:rsid w:val="00085927"/>
    <w:rsid w:val="00090AD5"/>
    <w:rsid w:val="000A04A8"/>
    <w:rsid w:val="000A1759"/>
    <w:rsid w:val="000A390F"/>
    <w:rsid w:val="000A4FAB"/>
    <w:rsid w:val="000A58F6"/>
    <w:rsid w:val="000A706C"/>
    <w:rsid w:val="000B1F76"/>
    <w:rsid w:val="000B473F"/>
    <w:rsid w:val="000B4FB3"/>
    <w:rsid w:val="000B7207"/>
    <w:rsid w:val="000C0578"/>
    <w:rsid w:val="000C2468"/>
    <w:rsid w:val="000C4681"/>
    <w:rsid w:val="000C6704"/>
    <w:rsid w:val="000C68DA"/>
    <w:rsid w:val="000C7BF6"/>
    <w:rsid w:val="000D0D56"/>
    <w:rsid w:val="000D36B6"/>
    <w:rsid w:val="000D4C46"/>
    <w:rsid w:val="000D7146"/>
    <w:rsid w:val="000D7A06"/>
    <w:rsid w:val="000E24A6"/>
    <w:rsid w:val="000E4A0A"/>
    <w:rsid w:val="000F1260"/>
    <w:rsid w:val="000F2140"/>
    <w:rsid w:val="000F2FB4"/>
    <w:rsid w:val="000F43E7"/>
    <w:rsid w:val="000F4CBF"/>
    <w:rsid w:val="000F6D1D"/>
    <w:rsid w:val="00101FA1"/>
    <w:rsid w:val="00106299"/>
    <w:rsid w:val="0010720D"/>
    <w:rsid w:val="001100B6"/>
    <w:rsid w:val="00113E40"/>
    <w:rsid w:val="00116893"/>
    <w:rsid w:val="00116FBD"/>
    <w:rsid w:val="00117AFB"/>
    <w:rsid w:val="00122F3E"/>
    <w:rsid w:val="0012542A"/>
    <w:rsid w:val="00125B06"/>
    <w:rsid w:val="00132963"/>
    <w:rsid w:val="0013498F"/>
    <w:rsid w:val="0013799A"/>
    <w:rsid w:val="001411B0"/>
    <w:rsid w:val="001436C9"/>
    <w:rsid w:val="00143F42"/>
    <w:rsid w:val="001461D8"/>
    <w:rsid w:val="00150E12"/>
    <w:rsid w:val="0015513D"/>
    <w:rsid w:val="001622B3"/>
    <w:rsid w:val="00163EC7"/>
    <w:rsid w:val="0016549B"/>
    <w:rsid w:val="001655C7"/>
    <w:rsid w:val="00165DFE"/>
    <w:rsid w:val="00166461"/>
    <w:rsid w:val="00166868"/>
    <w:rsid w:val="00166CB9"/>
    <w:rsid w:val="0016788B"/>
    <w:rsid w:val="00167AC6"/>
    <w:rsid w:val="00167BE4"/>
    <w:rsid w:val="00170495"/>
    <w:rsid w:val="00173CE4"/>
    <w:rsid w:val="001764D6"/>
    <w:rsid w:val="00177263"/>
    <w:rsid w:val="00177592"/>
    <w:rsid w:val="00182A92"/>
    <w:rsid w:val="001840F2"/>
    <w:rsid w:val="00184BFD"/>
    <w:rsid w:val="001868E2"/>
    <w:rsid w:val="00191EA6"/>
    <w:rsid w:val="00193CDE"/>
    <w:rsid w:val="0019726C"/>
    <w:rsid w:val="00197E48"/>
    <w:rsid w:val="001A2611"/>
    <w:rsid w:val="001A53D8"/>
    <w:rsid w:val="001A707C"/>
    <w:rsid w:val="001B0B1D"/>
    <w:rsid w:val="001B11EF"/>
    <w:rsid w:val="001B1DE0"/>
    <w:rsid w:val="001B41CB"/>
    <w:rsid w:val="001B4201"/>
    <w:rsid w:val="001B50FC"/>
    <w:rsid w:val="001C0557"/>
    <w:rsid w:val="001C4E99"/>
    <w:rsid w:val="001D18A9"/>
    <w:rsid w:val="001D3A7E"/>
    <w:rsid w:val="001E13B9"/>
    <w:rsid w:val="001E2A44"/>
    <w:rsid w:val="001E3064"/>
    <w:rsid w:val="001F7D1D"/>
    <w:rsid w:val="0020052A"/>
    <w:rsid w:val="00200889"/>
    <w:rsid w:val="0020183A"/>
    <w:rsid w:val="002026BB"/>
    <w:rsid w:val="00206E37"/>
    <w:rsid w:val="0021024E"/>
    <w:rsid w:val="00210C86"/>
    <w:rsid w:val="0021278B"/>
    <w:rsid w:val="0021435C"/>
    <w:rsid w:val="00215B7C"/>
    <w:rsid w:val="00221BA1"/>
    <w:rsid w:val="00222BCB"/>
    <w:rsid w:val="00222D64"/>
    <w:rsid w:val="0022686C"/>
    <w:rsid w:val="00231CFD"/>
    <w:rsid w:val="00247CEA"/>
    <w:rsid w:val="0025254F"/>
    <w:rsid w:val="00252BC9"/>
    <w:rsid w:val="002533B4"/>
    <w:rsid w:val="00253982"/>
    <w:rsid w:val="002541ED"/>
    <w:rsid w:val="00255E53"/>
    <w:rsid w:val="00256E04"/>
    <w:rsid w:val="00260608"/>
    <w:rsid w:val="00262973"/>
    <w:rsid w:val="00263655"/>
    <w:rsid w:val="00264277"/>
    <w:rsid w:val="002661CA"/>
    <w:rsid w:val="00273BE6"/>
    <w:rsid w:val="002744F0"/>
    <w:rsid w:val="002750DD"/>
    <w:rsid w:val="00280B7E"/>
    <w:rsid w:val="00284E38"/>
    <w:rsid w:val="00290A8C"/>
    <w:rsid w:val="00294DE6"/>
    <w:rsid w:val="0029529B"/>
    <w:rsid w:val="002A03C9"/>
    <w:rsid w:val="002A2D56"/>
    <w:rsid w:val="002B3EF7"/>
    <w:rsid w:val="002B3F24"/>
    <w:rsid w:val="002B6748"/>
    <w:rsid w:val="002B749C"/>
    <w:rsid w:val="002B7AF9"/>
    <w:rsid w:val="002C0787"/>
    <w:rsid w:val="002C3F49"/>
    <w:rsid w:val="002C5715"/>
    <w:rsid w:val="002C5FA7"/>
    <w:rsid w:val="002C602E"/>
    <w:rsid w:val="002C7B92"/>
    <w:rsid w:val="002D454B"/>
    <w:rsid w:val="002D6014"/>
    <w:rsid w:val="002D682E"/>
    <w:rsid w:val="002D6AB1"/>
    <w:rsid w:val="002E1EF1"/>
    <w:rsid w:val="002E25AD"/>
    <w:rsid w:val="002F000E"/>
    <w:rsid w:val="002F02F8"/>
    <w:rsid w:val="002F0F6E"/>
    <w:rsid w:val="002F6E66"/>
    <w:rsid w:val="00300411"/>
    <w:rsid w:val="003010A4"/>
    <w:rsid w:val="003046AB"/>
    <w:rsid w:val="0030708B"/>
    <w:rsid w:val="00313EF7"/>
    <w:rsid w:val="003166F4"/>
    <w:rsid w:val="0032162E"/>
    <w:rsid w:val="0032452C"/>
    <w:rsid w:val="0032702E"/>
    <w:rsid w:val="00334FF0"/>
    <w:rsid w:val="00336504"/>
    <w:rsid w:val="0034013D"/>
    <w:rsid w:val="00342C49"/>
    <w:rsid w:val="00343C5D"/>
    <w:rsid w:val="003440C8"/>
    <w:rsid w:val="00344913"/>
    <w:rsid w:val="00367B43"/>
    <w:rsid w:val="00367BBD"/>
    <w:rsid w:val="0037284B"/>
    <w:rsid w:val="00372FC6"/>
    <w:rsid w:val="003762C1"/>
    <w:rsid w:val="003900ED"/>
    <w:rsid w:val="00390CA7"/>
    <w:rsid w:val="00397646"/>
    <w:rsid w:val="003A33E7"/>
    <w:rsid w:val="003A3AF0"/>
    <w:rsid w:val="003A4871"/>
    <w:rsid w:val="003A77F0"/>
    <w:rsid w:val="003B0ADD"/>
    <w:rsid w:val="003B6AF8"/>
    <w:rsid w:val="003C210B"/>
    <w:rsid w:val="003C3F17"/>
    <w:rsid w:val="003D5B67"/>
    <w:rsid w:val="003D6A13"/>
    <w:rsid w:val="003D72ED"/>
    <w:rsid w:val="003D73A1"/>
    <w:rsid w:val="003E46EC"/>
    <w:rsid w:val="003E5BBD"/>
    <w:rsid w:val="003E65D1"/>
    <w:rsid w:val="003F1B27"/>
    <w:rsid w:val="003F1B6C"/>
    <w:rsid w:val="003F6FF2"/>
    <w:rsid w:val="00400B5D"/>
    <w:rsid w:val="00400B86"/>
    <w:rsid w:val="00404D07"/>
    <w:rsid w:val="00406917"/>
    <w:rsid w:val="00406E04"/>
    <w:rsid w:val="00407240"/>
    <w:rsid w:val="004079E9"/>
    <w:rsid w:val="00415B68"/>
    <w:rsid w:val="0042084D"/>
    <w:rsid w:val="0042142B"/>
    <w:rsid w:val="004225FE"/>
    <w:rsid w:val="00424F78"/>
    <w:rsid w:val="004278DA"/>
    <w:rsid w:val="0043081B"/>
    <w:rsid w:val="00430E49"/>
    <w:rsid w:val="00434887"/>
    <w:rsid w:val="00444598"/>
    <w:rsid w:val="0044787A"/>
    <w:rsid w:val="004501CB"/>
    <w:rsid w:val="00455FD6"/>
    <w:rsid w:val="00456235"/>
    <w:rsid w:val="004567DE"/>
    <w:rsid w:val="004602FF"/>
    <w:rsid w:val="00460D79"/>
    <w:rsid w:val="004632A4"/>
    <w:rsid w:val="00464AE0"/>
    <w:rsid w:val="00467A59"/>
    <w:rsid w:val="00470CFD"/>
    <w:rsid w:val="00480E74"/>
    <w:rsid w:val="00486A86"/>
    <w:rsid w:val="00486E87"/>
    <w:rsid w:val="00487067"/>
    <w:rsid w:val="004943B6"/>
    <w:rsid w:val="0049559E"/>
    <w:rsid w:val="004A183F"/>
    <w:rsid w:val="004C66AF"/>
    <w:rsid w:val="004D43A5"/>
    <w:rsid w:val="004D5FFF"/>
    <w:rsid w:val="004E6841"/>
    <w:rsid w:val="004E6C1C"/>
    <w:rsid w:val="004F073A"/>
    <w:rsid w:val="004F16F0"/>
    <w:rsid w:val="004F2674"/>
    <w:rsid w:val="004F3141"/>
    <w:rsid w:val="004F38A5"/>
    <w:rsid w:val="00501D0D"/>
    <w:rsid w:val="00502418"/>
    <w:rsid w:val="00502E9E"/>
    <w:rsid w:val="005030F2"/>
    <w:rsid w:val="00504EA5"/>
    <w:rsid w:val="00507AF9"/>
    <w:rsid w:val="00510BA3"/>
    <w:rsid w:val="0051224E"/>
    <w:rsid w:val="0051264E"/>
    <w:rsid w:val="0051490D"/>
    <w:rsid w:val="005156C0"/>
    <w:rsid w:val="005159EA"/>
    <w:rsid w:val="00522809"/>
    <w:rsid w:val="00524408"/>
    <w:rsid w:val="0053398B"/>
    <w:rsid w:val="0053493C"/>
    <w:rsid w:val="00534D48"/>
    <w:rsid w:val="0054038A"/>
    <w:rsid w:val="00540A68"/>
    <w:rsid w:val="00550B7E"/>
    <w:rsid w:val="0055204A"/>
    <w:rsid w:val="00555DE0"/>
    <w:rsid w:val="00557C56"/>
    <w:rsid w:val="00561368"/>
    <w:rsid w:val="00562937"/>
    <w:rsid w:val="00567A5B"/>
    <w:rsid w:val="0057044B"/>
    <w:rsid w:val="00581098"/>
    <w:rsid w:val="00582A0D"/>
    <w:rsid w:val="00584E4A"/>
    <w:rsid w:val="00584F6E"/>
    <w:rsid w:val="005912D7"/>
    <w:rsid w:val="005940F9"/>
    <w:rsid w:val="005A0CAF"/>
    <w:rsid w:val="005A2606"/>
    <w:rsid w:val="005B04A1"/>
    <w:rsid w:val="005B4815"/>
    <w:rsid w:val="005B54E8"/>
    <w:rsid w:val="005C0D3A"/>
    <w:rsid w:val="005C272C"/>
    <w:rsid w:val="005C4EA1"/>
    <w:rsid w:val="005C5E7D"/>
    <w:rsid w:val="005C61F8"/>
    <w:rsid w:val="005D26FD"/>
    <w:rsid w:val="005D3304"/>
    <w:rsid w:val="005E33A5"/>
    <w:rsid w:val="005E746C"/>
    <w:rsid w:val="005F0F3C"/>
    <w:rsid w:val="005F7308"/>
    <w:rsid w:val="0060090F"/>
    <w:rsid w:val="00600FE5"/>
    <w:rsid w:val="006017FB"/>
    <w:rsid w:val="00604473"/>
    <w:rsid w:val="00606780"/>
    <w:rsid w:val="00611A05"/>
    <w:rsid w:val="00613994"/>
    <w:rsid w:val="006143EC"/>
    <w:rsid w:val="00615A30"/>
    <w:rsid w:val="00620FDF"/>
    <w:rsid w:val="00623987"/>
    <w:rsid w:val="0063074F"/>
    <w:rsid w:val="00631533"/>
    <w:rsid w:val="00631EAD"/>
    <w:rsid w:val="00632281"/>
    <w:rsid w:val="00632CF0"/>
    <w:rsid w:val="00634B45"/>
    <w:rsid w:val="006367D7"/>
    <w:rsid w:val="00637009"/>
    <w:rsid w:val="006409AC"/>
    <w:rsid w:val="00644FDE"/>
    <w:rsid w:val="006451C2"/>
    <w:rsid w:val="00651D5A"/>
    <w:rsid w:val="006540C3"/>
    <w:rsid w:val="00656568"/>
    <w:rsid w:val="00662D93"/>
    <w:rsid w:val="006635C8"/>
    <w:rsid w:val="006641F5"/>
    <w:rsid w:val="006647EB"/>
    <w:rsid w:val="00666D37"/>
    <w:rsid w:val="00671A32"/>
    <w:rsid w:val="00672C5B"/>
    <w:rsid w:val="00673AC7"/>
    <w:rsid w:val="00674E2F"/>
    <w:rsid w:val="00680349"/>
    <w:rsid w:val="006815DC"/>
    <w:rsid w:val="00681DBB"/>
    <w:rsid w:val="006865A1"/>
    <w:rsid w:val="006873A8"/>
    <w:rsid w:val="006926E7"/>
    <w:rsid w:val="006943C6"/>
    <w:rsid w:val="00695616"/>
    <w:rsid w:val="006A0CD1"/>
    <w:rsid w:val="006A2028"/>
    <w:rsid w:val="006A41DC"/>
    <w:rsid w:val="006A49B2"/>
    <w:rsid w:val="006A5348"/>
    <w:rsid w:val="006A6454"/>
    <w:rsid w:val="006B1E1C"/>
    <w:rsid w:val="006B2F1D"/>
    <w:rsid w:val="006B2F26"/>
    <w:rsid w:val="006B3278"/>
    <w:rsid w:val="006B4A33"/>
    <w:rsid w:val="006C0A52"/>
    <w:rsid w:val="006C54B4"/>
    <w:rsid w:val="006C603F"/>
    <w:rsid w:val="006C76B4"/>
    <w:rsid w:val="006C7E08"/>
    <w:rsid w:val="006C7F48"/>
    <w:rsid w:val="006D4CC5"/>
    <w:rsid w:val="006E0A40"/>
    <w:rsid w:val="006E28B0"/>
    <w:rsid w:val="006E3213"/>
    <w:rsid w:val="006F6A2C"/>
    <w:rsid w:val="00701E22"/>
    <w:rsid w:val="00703015"/>
    <w:rsid w:val="007034F8"/>
    <w:rsid w:val="007043EB"/>
    <w:rsid w:val="00707667"/>
    <w:rsid w:val="00712CD0"/>
    <w:rsid w:val="00712DC9"/>
    <w:rsid w:val="007164C8"/>
    <w:rsid w:val="0072334C"/>
    <w:rsid w:val="0072370E"/>
    <w:rsid w:val="00725F17"/>
    <w:rsid w:val="00731266"/>
    <w:rsid w:val="00731B3D"/>
    <w:rsid w:val="007352C3"/>
    <w:rsid w:val="0073683A"/>
    <w:rsid w:val="007372DA"/>
    <w:rsid w:val="007464EF"/>
    <w:rsid w:val="007507AE"/>
    <w:rsid w:val="007544BE"/>
    <w:rsid w:val="00755741"/>
    <w:rsid w:val="00755980"/>
    <w:rsid w:val="007559D8"/>
    <w:rsid w:val="00756202"/>
    <w:rsid w:val="0076344C"/>
    <w:rsid w:val="007650E9"/>
    <w:rsid w:val="0076541C"/>
    <w:rsid w:val="0076571C"/>
    <w:rsid w:val="007704D5"/>
    <w:rsid w:val="00770669"/>
    <w:rsid w:val="00774D6A"/>
    <w:rsid w:val="0077652F"/>
    <w:rsid w:val="007778E2"/>
    <w:rsid w:val="007929FC"/>
    <w:rsid w:val="007A10CF"/>
    <w:rsid w:val="007A4A9B"/>
    <w:rsid w:val="007A4EA7"/>
    <w:rsid w:val="007A6A87"/>
    <w:rsid w:val="007B1140"/>
    <w:rsid w:val="007B2186"/>
    <w:rsid w:val="007B4920"/>
    <w:rsid w:val="007C3422"/>
    <w:rsid w:val="007C3A00"/>
    <w:rsid w:val="007C6073"/>
    <w:rsid w:val="007C6690"/>
    <w:rsid w:val="007D0C15"/>
    <w:rsid w:val="007D2243"/>
    <w:rsid w:val="007D3A93"/>
    <w:rsid w:val="007D4124"/>
    <w:rsid w:val="007D5418"/>
    <w:rsid w:val="007E2120"/>
    <w:rsid w:val="007E5157"/>
    <w:rsid w:val="007E569D"/>
    <w:rsid w:val="007F0B7C"/>
    <w:rsid w:val="007F3BA0"/>
    <w:rsid w:val="007F447E"/>
    <w:rsid w:val="00805259"/>
    <w:rsid w:val="00805CD7"/>
    <w:rsid w:val="00813A75"/>
    <w:rsid w:val="0082196E"/>
    <w:rsid w:val="0082272A"/>
    <w:rsid w:val="0082516B"/>
    <w:rsid w:val="008264E5"/>
    <w:rsid w:val="008269EE"/>
    <w:rsid w:val="00827B9F"/>
    <w:rsid w:val="00840053"/>
    <w:rsid w:val="00840352"/>
    <w:rsid w:val="008408BF"/>
    <w:rsid w:val="008410C9"/>
    <w:rsid w:val="008425DA"/>
    <w:rsid w:val="008430A0"/>
    <w:rsid w:val="00844C75"/>
    <w:rsid w:val="00853BF1"/>
    <w:rsid w:val="00857C1D"/>
    <w:rsid w:val="00863BD3"/>
    <w:rsid w:val="00864B83"/>
    <w:rsid w:val="008675FF"/>
    <w:rsid w:val="00872769"/>
    <w:rsid w:val="008738D1"/>
    <w:rsid w:val="008743BC"/>
    <w:rsid w:val="008778EA"/>
    <w:rsid w:val="00880A56"/>
    <w:rsid w:val="008816D5"/>
    <w:rsid w:val="00884E23"/>
    <w:rsid w:val="00886D87"/>
    <w:rsid w:val="00887DBC"/>
    <w:rsid w:val="008A5C3D"/>
    <w:rsid w:val="008A71B7"/>
    <w:rsid w:val="008B277C"/>
    <w:rsid w:val="008B3618"/>
    <w:rsid w:val="008B7A33"/>
    <w:rsid w:val="008C105E"/>
    <w:rsid w:val="008C1B1C"/>
    <w:rsid w:val="008D1EE2"/>
    <w:rsid w:val="008D2868"/>
    <w:rsid w:val="008D34EB"/>
    <w:rsid w:val="008D4594"/>
    <w:rsid w:val="008D45DC"/>
    <w:rsid w:val="008D5797"/>
    <w:rsid w:val="008E02A7"/>
    <w:rsid w:val="008E24A1"/>
    <w:rsid w:val="008E2801"/>
    <w:rsid w:val="008E3883"/>
    <w:rsid w:val="008E5D4D"/>
    <w:rsid w:val="008F02D2"/>
    <w:rsid w:val="008F048D"/>
    <w:rsid w:val="008F1EC5"/>
    <w:rsid w:val="00902609"/>
    <w:rsid w:val="0090390F"/>
    <w:rsid w:val="00903C01"/>
    <w:rsid w:val="00905463"/>
    <w:rsid w:val="00915EA2"/>
    <w:rsid w:val="0091639E"/>
    <w:rsid w:val="009244B4"/>
    <w:rsid w:val="009250FC"/>
    <w:rsid w:val="00930F63"/>
    <w:rsid w:val="00933C37"/>
    <w:rsid w:val="00940D77"/>
    <w:rsid w:val="009440CF"/>
    <w:rsid w:val="00945653"/>
    <w:rsid w:val="00947E16"/>
    <w:rsid w:val="00954006"/>
    <w:rsid w:val="00954378"/>
    <w:rsid w:val="00961BB7"/>
    <w:rsid w:val="0096342F"/>
    <w:rsid w:val="00964B85"/>
    <w:rsid w:val="00965DBB"/>
    <w:rsid w:val="00970C50"/>
    <w:rsid w:val="00971B69"/>
    <w:rsid w:val="00973A4B"/>
    <w:rsid w:val="0097522D"/>
    <w:rsid w:val="00992843"/>
    <w:rsid w:val="009A0043"/>
    <w:rsid w:val="009A61C5"/>
    <w:rsid w:val="009A6B95"/>
    <w:rsid w:val="009B0B99"/>
    <w:rsid w:val="009B23E5"/>
    <w:rsid w:val="009B39B6"/>
    <w:rsid w:val="009B5329"/>
    <w:rsid w:val="009B5C70"/>
    <w:rsid w:val="009B686B"/>
    <w:rsid w:val="009C0B65"/>
    <w:rsid w:val="009C36A6"/>
    <w:rsid w:val="009C5EB0"/>
    <w:rsid w:val="009C7266"/>
    <w:rsid w:val="009C7632"/>
    <w:rsid w:val="009C7F4B"/>
    <w:rsid w:val="009D16F2"/>
    <w:rsid w:val="009D490D"/>
    <w:rsid w:val="009D5EEA"/>
    <w:rsid w:val="009D60E0"/>
    <w:rsid w:val="009D6EFA"/>
    <w:rsid w:val="009D7C4B"/>
    <w:rsid w:val="009E0579"/>
    <w:rsid w:val="009E2EF3"/>
    <w:rsid w:val="009E427C"/>
    <w:rsid w:val="009E4F9D"/>
    <w:rsid w:val="009F0344"/>
    <w:rsid w:val="009F37FE"/>
    <w:rsid w:val="009F3CC3"/>
    <w:rsid w:val="009F5768"/>
    <w:rsid w:val="009F7380"/>
    <w:rsid w:val="00A02EEC"/>
    <w:rsid w:val="00A04605"/>
    <w:rsid w:val="00A061D5"/>
    <w:rsid w:val="00A06ADA"/>
    <w:rsid w:val="00A117A7"/>
    <w:rsid w:val="00A122BA"/>
    <w:rsid w:val="00A16FC9"/>
    <w:rsid w:val="00A23EF1"/>
    <w:rsid w:val="00A24BA1"/>
    <w:rsid w:val="00A258CF"/>
    <w:rsid w:val="00A27A08"/>
    <w:rsid w:val="00A32830"/>
    <w:rsid w:val="00A33CA0"/>
    <w:rsid w:val="00A34299"/>
    <w:rsid w:val="00A344E7"/>
    <w:rsid w:val="00A35C2F"/>
    <w:rsid w:val="00A452A9"/>
    <w:rsid w:val="00A47601"/>
    <w:rsid w:val="00A53526"/>
    <w:rsid w:val="00A560BE"/>
    <w:rsid w:val="00A56823"/>
    <w:rsid w:val="00A5768D"/>
    <w:rsid w:val="00A61B7C"/>
    <w:rsid w:val="00A656CB"/>
    <w:rsid w:val="00A7297D"/>
    <w:rsid w:val="00A753F7"/>
    <w:rsid w:val="00A75579"/>
    <w:rsid w:val="00A757AE"/>
    <w:rsid w:val="00A75BB7"/>
    <w:rsid w:val="00A766CC"/>
    <w:rsid w:val="00A77088"/>
    <w:rsid w:val="00A82438"/>
    <w:rsid w:val="00A82F56"/>
    <w:rsid w:val="00A84FB1"/>
    <w:rsid w:val="00A937F5"/>
    <w:rsid w:val="00A94308"/>
    <w:rsid w:val="00A95E89"/>
    <w:rsid w:val="00AA04D0"/>
    <w:rsid w:val="00AA2B24"/>
    <w:rsid w:val="00AA3B94"/>
    <w:rsid w:val="00AA3D85"/>
    <w:rsid w:val="00AA4351"/>
    <w:rsid w:val="00AA5306"/>
    <w:rsid w:val="00AA5DA2"/>
    <w:rsid w:val="00AA6FF6"/>
    <w:rsid w:val="00AA79B6"/>
    <w:rsid w:val="00AA7DEB"/>
    <w:rsid w:val="00AB152A"/>
    <w:rsid w:val="00AB548E"/>
    <w:rsid w:val="00AC2E50"/>
    <w:rsid w:val="00AC2F06"/>
    <w:rsid w:val="00AC5B56"/>
    <w:rsid w:val="00AC7DCF"/>
    <w:rsid w:val="00AE1020"/>
    <w:rsid w:val="00AE1821"/>
    <w:rsid w:val="00AE40F8"/>
    <w:rsid w:val="00AF15C9"/>
    <w:rsid w:val="00AF5208"/>
    <w:rsid w:val="00AF67FF"/>
    <w:rsid w:val="00B0026C"/>
    <w:rsid w:val="00B033B3"/>
    <w:rsid w:val="00B06062"/>
    <w:rsid w:val="00B1329A"/>
    <w:rsid w:val="00B24B07"/>
    <w:rsid w:val="00B30AFF"/>
    <w:rsid w:val="00B34DB5"/>
    <w:rsid w:val="00B40562"/>
    <w:rsid w:val="00B421CA"/>
    <w:rsid w:val="00B47DCC"/>
    <w:rsid w:val="00B516B5"/>
    <w:rsid w:val="00B52067"/>
    <w:rsid w:val="00B5445F"/>
    <w:rsid w:val="00B54464"/>
    <w:rsid w:val="00B61ED6"/>
    <w:rsid w:val="00B62EF3"/>
    <w:rsid w:val="00B66FA6"/>
    <w:rsid w:val="00B7333C"/>
    <w:rsid w:val="00B7404C"/>
    <w:rsid w:val="00B769A4"/>
    <w:rsid w:val="00B774C8"/>
    <w:rsid w:val="00B81D39"/>
    <w:rsid w:val="00B826F2"/>
    <w:rsid w:val="00B837E4"/>
    <w:rsid w:val="00B8599D"/>
    <w:rsid w:val="00B93BE4"/>
    <w:rsid w:val="00B9577E"/>
    <w:rsid w:val="00BA107B"/>
    <w:rsid w:val="00BA4125"/>
    <w:rsid w:val="00BA5C23"/>
    <w:rsid w:val="00BA68DD"/>
    <w:rsid w:val="00BB0FCC"/>
    <w:rsid w:val="00BB2CCB"/>
    <w:rsid w:val="00BB3DF6"/>
    <w:rsid w:val="00BB7DA1"/>
    <w:rsid w:val="00BB7E7A"/>
    <w:rsid w:val="00BC0C82"/>
    <w:rsid w:val="00BC496C"/>
    <w:rsid w:val="00BC5DB3"/>
    <w:rsid w:val="00BD042C"/>
    <w:rsid w:val="00BD09F8"/>
    <w:rsid w:val="00BD3A38"/>
    <w:rsid w:val="00BD4109"/>
    <w:rsid w:val="00BD5AE2"/>
    <w:rsid w:val="00BE161C"/>
    <w:rsid w:val="00BE54FC"/>
    <w:rsid w:val="00BE6795"/>
    <w:rsid w:val="00BE6BA1"/>
    <w:rsid w:val="00BE6FF9"/>
    <w:rsid w:val="00BE73E5"/>
    <w:rsid w:val="00BF0B2D"/>
    <w:rsid w:val="00BF20F8"/>
    <w:rsid w:val="00BF566E"/>
    <w:rsid w:val="00C007F7"/>
    <w:rsid w:val="00C017E4"/>
    <w:rsid w:val="00C02921"/>
    <w:rsid w:val="00C11A38"/>
    <w:rsid w:val="00C12450"/>
    <w:rsid w:val="00C16B21"/>
    <w:rsid w:val="00C207C3"/>
    <w:rsid w:val="00C22AE0"/>
    <w:rsid w:val="00C23581"/>
    <w:rsid w:val="00C248D5"/>
    <w:rsid w:val="00C264A7"/>
    <w:rsid w:val="00C26FD0"/>
    <w:rsid w:val="00C27728"/>
    <w:rsid w:val="00C30470"/>
    <w:rsid w:val="00C30B7E"/>
    <w:rsid w:val="00C3494F"/>
    <w:rsid w:val="00C37537"/>
    <w:rsid w:val="00C43A94"/>
    <w:rsid w:val="00C43E5F"/>
    <w:rsid w:val="00C43FBA"/>
    <w:rsid w:val="00C46B09"/>
    <w:rsid w:val="00C50908"/>
    <w:rsid w:val="00C53D64"/>
    <w:rsid w:val="00C55063"/>
    <w:rsid w:val="00C5791B"/>
    <w:rsid w:val="00C610E4"/>
    <w:rsid w:val="00C61364"/>
    <w:rsid w:val="00C6454D"/>
    <w:rsid w:val="00C65483"/>
    <w:rsid w:val="00C7249E"/>
    <w:rsid w:val="00C72B97"/>
    <w:rsid w:val="00C8250C"/>
    <w:rsid w:val="00C86ECA"/>
    <w:rsid w:val="00CA14FA"/>
    <w:rsid w:val="00CA4A88"/>
    <w:rsid w:val="00CB2867"/>
    <w:rsid w:val="00CB4AC7"/>
    <w:rsid w:val="00CB5DDE"/>
    <w:rsid w:val="00CB7E26"/>
    <w:rsid w:val="00CC04D8"/>
    <w:rsid w:val="00CC087D"/>
    <w:rsid w:val="00CE3875"/>
    <w:rsid w:val="00CF128B"/>
    <w:rsid w:val="00CF4EC3"/>
    <w:rsid w:val="00CF6F1A"/>
    <w:rsid w:val="00CF7762"/>
    <w:rsid w:val="00D010FC"/>
    <w:rsid w:val="00D02138"/>
    <w:rsid w:val="00D029A1"/>
    <w:rsid w:val="00D04942"/>
    <w:rsid w:val="00D05759"/>
    <w:rsid w:val="00D133C3"/>
    <w:rsid w:val="00D15704"/>
    <w:rsid w:val="00D168AB"/>
    <w:rsid w:val="00D17381"/>
    <w:rsid w:val="00D218C8"/>
    <w:rsid w:val="00D226E3"/>
    <w:rsid w:val="00D2271B"/>
    <w:rsid w:val="00D24527"/>
    <w:rsid w:val="00D320B9"/>
    <w:rsid w:val="00D32301"/>
    <w:rsid w:val="00D345F4"/>
    <w:rsid w:val="00D44114"/>
    <w:rsid w:val="00D478B7"/>
    <w:rsid w:val="00D502F3"/>
    <w:rsid w:val="00D51B24"/>
    <w:rsid w:val="00D551CF"/>
    <w:rsid w:val="00D55307"/>
    <w:rsid w:val="00D62FD8"/>
    <w:rsid w:val="00D6625D"/>
    <w:rsid w:val="00D7048D"/>
    <w:rsid w:val="00D70E7B"/>
    <w:rsid w:val="00D74157"/>
    <w:rsid w:val="00D7575E"/>
    <w:rsid w:val="00D7773A"/>
    <w:rsid w:val="00D83B7F"/>
    <w:rsid w:val="00D84BF5"/>
    <w:rsid w:val="00D874DB"/>
    <w:rsid w:val="00D93984"/>
    <w:rsid w:val="00D9445D"/>
    <w:rsid w:val="00DA0503"/>
    <w:rsid w:val="00DA1D82"/>
    <w:rsid w:val="00DA21E9"/>
    <w:rsid w:val="00DA411C"/>
    <w:rsid w:val="00DA599F"/>
    <w:rsid w:val="00DB15D1"/>
    <w:rsid w:val="00DB1938"/>
    <w:rsid w:val="00DC4FA1"/>
    <w:rsid w:val="00DC644C"/>
    <w:rsid w:val="00DC6922"/>
    <w:rsid w:val="00DC6C53"/>
    <w:rsid w:val="00DC76A4"/>
    <w:rsid w:val="00DD7CD7"/>
    <w:rsid w:val="00DE0575"/>
    <w:rsid w:val="00DE1F50"/>
    <w:rsid w:val="00DE6851"/>
    <w:rsid w:val="00DF4C80"/>
    <w:rsid w:val="00DF5231"/>
    <w:rsid w:val="00DF5C7C"/>
    <w:rsid w:val="00E010C9"/>
    <w:rsid w:val="00E02F06"/>
    <w:rsid w:val="00E0761E"/>
    <w:rsid w:val="00E1063E"/>
    <w:rsid w:val="00E12C0B"/>
    <w:rsid w:val="00E14F9D"/>
    <w:rsid w:val="00E157EE"/>
    <w:rsid w:val="00E1680B"/>
    <w:rsid w:val="00E17AB4"/>
    <w:rsid w:val="00E22174"/>
    <w:rsid w:val="00E25903"/>
    <w:rsid w:val="00E26760"/>
    <w:rsid w:val="00E3076B"/>
    <w:rsid w:val="00E3594B"/>
    <w:rsid w:val="00E40644"/>
    <w:rsid w:val="00E4187C"/>
    <w:rsid w:val="00E41925"/>
    <w:rsid w:val="00E42B9A"/>
    <w:rsid w:val="00E42C30"/>
    <w:rsid w:val="00E44056"/>
    <w:rsid w:val="00E46814"/>
    <w:rsid w:val="00E540E2"/>
    <w:rsid w:val="00E659CC"/>
    <w:rsid w:val="00E664A3"/>
    <w:rsid w:val="00E719A8"/>
    <w:rsid w:val="00E76CED"/>
    <w:rsid w:val="00E841DB"/>
    <w:rsid w:val="00E85899"/>
    <w:rsid w:val="00E872BF"/>
    <w:rsid w:val="00E97C8C"/>
    <w:rsid w:val="00EA0268"/>
    <w:rsid w:val="00EA38B4"/>
    <w:rsid w:val="00EA565A"/>
    <w:rsid w:val="00EA6C34"/>
    <w:rsid w:val="00EA6F79"/>
    <w:rsid w:val="00EB2925"/>
    <w:rsid w:val="00EB2DF8"/>
    <w:rsid w:val="00EB3AA5"/>
    <w:rsid w:val="00EB4B9C"/>
    <w:rsid w:val="00EB663C"/>
    <w:rsid w:val="00EB6D52"/>
    <w:rsid w:val="00EB6DAA"/>
    <w:rsid w:val="00EB6DBE"/>
    <w:rsid w:val="00EC4076"/>
    <w:rsid w:val="00ED1588"/>
    <w:rsid w:val="00EE051A"/>
    <w:rsid w:val="00EE4A37"/>
    <w:rsid w:val="00EF04D7"/>
    <w:rsid w:val="00EF1931"/>
    <w:rsid w:val="00EF5C2A"/>
    <w:rsid w:val="00F01112"/>
    <w:rsid w:val="00F0665A"/>
    <w:rsid w:val="00F06C57"/>
    <w:rsid w:val="00F070A7"/>
    <w:rsid w:val="00F11F15"/>
    <w:rsid w:val="00F20D69"/>
    <w:rsid w:val="00F21E13"/>
    <w:rsid w:val="00F221FC"/>
    <w:rsid w:val="00F23675"/>
    <w:rsid w:val="00F26C53"/>
    <w:rsid w:val="00F370CA"/>
    <w:rsid w:val="00F3754B"/>
    <w:rsid w:val="00F4349A"/>
    <w:rsid w:val="00F44208"/>
    <w:rsid w:val="00F44E12"/>
    <w:rsid w:val="00F52E86"/>
    <w:rsid w:val="00F53159"/>
    <w:rsid w:val="00F54AF1"/>
    <w:rsid w:val="00F66520"/>
    <w:rsid w:val="00F67D1E"/>
    <w:rsid w:val="00F71030"/>
    <w:rsid w:val="00F71903"/>
    <w:rsid w:val="00F7441F"/>
    <w:rsid w:val="00F7608A"/>
    <w:rsid w:val="00F76B7E"/>
    <w:rsid w:val="00F87458"/>
    <w:rsid w:val="00F96221"/>
    <w:rsid w:val="00F974E2"/>
    <w:rsid w:val="00FA0DE1"/>
    <w:rsid w:val="00FA2782"/>
    <w:rsid w:val="00FA6762"/>
    <w:rsid w:val="00FA72A3"/>
    <w:rsid w:val="00FB553E"/>
    <w:rsid w:val="00FC14DF"/>
    <w:rsid w:val="00FC395F"/>
    <w:rsid w:val="00FC4A9F"/>
    <w:rsid w:val="00FC7CFB"/>
    <w:rsid w:val="00FD152C"/>
    <w:rsid w:val="00FD76D4"/>
    <w:rsid w:val="00FE0107"/>
    <w:rsid w:val="00FE4CF2"/>
    <w:rsid w:val="00FE5451"/>
    <w:rsid w:val="00FE6015"/>
    <w:rsid w:val="00FF029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71AA8C"/>
  <w15:docId w15:val="{EA76CF5C-52F9-463D-BAD8-F25FF688F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0D56"/>
    <w:pPr>
      <w:spacing w:after="200" w:line="276" w:lineRule="auto"/>
    </w:pPr>
  </w:style>
  <w:style w:type="paragraph" w:styleId="1">
    <w:name w:val="heading 1"/>
    <w:basedOn w:val="a"/>
    <w:link w:val="10"/>
    <w:uiPriority w:val="9"/>
    <w:qFormat/>
    <w:rsid w:val="000D0D5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BE54F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uiPriority w:val="9"/>
    <w:semiHidden/>
    <w:unhideWhenUsed/>
    <w:qFormat/>
    <w:rsid w:val="00DE1F5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0D56"/>
    <w:rPr>
      <w:rFonts w:ascii="Times New Roman" w:eastAsia="Times New Roman" w:hAnsi="Times New Roman" w:cs="Times New Roman"/>
      <w:b/>
      <w:bCs/>
      <w:kern w:val="36"/>
      <w:sz w:val="48"/>
      <w:szCs w:val="48"/>
    </w:rPr>
  </w:style>
  <w:style w:type="paragraph" w:styleId="a3">
    <w:name w:val="List Paragraph"/>
    <w:basedOn w:val="a"/>
    <w:uiPriority w:val="34"/>
    <w:qFormat/>
    <w:rsid w:val="000D0D56"/>
    <w:pPr>
      <w:ind w:left="720"/>
      <w:contextualSpacing/>
    </w:pPr>
  </w:style>
  <w:style w:type="paragraph" w:customStyle="1" w:styleId="Skripsi">
    <w:name w:val="Skripsi"/>
    <w:basedOn w:val="a"/>
    <w:autoRedefine/>
    <w:qFormat/>
    <w:rsid w:val="000D0D56"/>
    <w:pPr>
      <w:spacing w:after="0" w:line="480" w:lineRule="auto"/>
      <w:jc w:val="both"/>
    </w:pPr>
    <w:rPr>
      <w:rFonts w:ascii="Times New Roman" w:hAnsi="Times New Roman" w:cs="Courier New"/>
      <w:color w:val="000000" w:themeColor="text1"/>
      <w:sz w:val="24"/>
      <w:lang w:val="fi-FI"/>
    </w:rPr>
  </w:style>
  <w:style w:type="paragraph" w:styleId="a4">
    <w:name w:val="No Spacing"/>
    <w:aliases w:val="DAFPUS"/>
    <w:uiPriority w:val="1"/>
    <w:qFormat/>
    <w:rsid w:val="000D0D56"/>
    <w:pPr>
      <w:spacing w:before="40" w:after="40" w:line="240" w:lineRule="auto"/>
      <w:ind w:left="709" w:hanging="709"/>
      <w:jc w:val="both"/>
    </w:pPr>
    <w:rPr>
      <w:rFonts w:ascii="Times New Roman" w:hAnsi="Times New Roman"/>
      <w:sz w:val="24"/>
      <w:szCs w:val="24"/>
    </w:rPr>
  </w:style>
  <w:style w:type="character" w:customStyle="1" w:styleId="articlecitationyear">
    <w:name w:val="articlecitation_year"/>
    <w:basedOn w:val="a0"/>
    <w:rsid w:val="000D0D56"/>
  </w:style>
  <w:style w:type="character" w:customStyle="1" w:styleId="articlecitationvolume">
    <w:name w:val="articlecitation_volume"/>
    <w:basedOn w:val="a0"/>
    <w:rsid w:val="000D0D56"/>
  </w:style>
  <w:style w:type="character" w:styleId="a5">
    <w:name w:val="Strong"/>
    <w:basedOn w:val="a0"/>
    <w:uiPriority w:val="22"/>
    <w:qFormat/>
    <w:rsid w:val="000D0D56"/>
    <w:rPr>
      <w:b/>
      <w:bCs/>
    </w:rPr>
  </w:style>
  <w:style w:type="character" w:customStyle="1" w:styleId="jrnl">
    <w:name w:val="jrnl"/>
    <w:basedOn w:val="a0"/>
    <w:rsid w:val="000D0D56"/>
  </w:style>
  <w:style w:type="paragraph" w:customStyle="1" w:styleId="batangtubuhleft">
    <w:name w:val="batang tubuh left"/>
    <w:basedOn w:val="a"/>
    <w:rsid w:val="000D0D56"/>
    <w:pPr>
      <w:spacing w:after="0" w:line="360" w:lineRule="auto"/>
      <w:jc w:val="both"/>
    </w:pPr>
    <w:rPr>
      <w:rFonts w:ascii="Arial" w:eastAsia="Times New Roman" w:hAnsi="Arial" w:cs="Arial"/>
      <w:lang w:val="fi-FI"/>
    </w:rPr>
  </w:style>
  <w:style w:type="character" w:customStyle="1" w:styleId="A10">
    <w:name w:val="A1"/>
    <w:uiPriority w:val="99"/>
    <w:rsid w:val="000D0D56"/>
    <w:rPr>
      <w:rFonts w:cs="Minion Pro"/>
      <w:color w:val="000000"/>
      <w:sz w:val="20"/>
      <w:szCs w:val="20"/>
    </w:rPr>
  </w:style>
  <w:style w:type="paragraph" w:customStyle="1" w:styleId="Default">
    <w:name w:val="Default"/>
    <w:rsid w:val="000D0D56"/>
    <w:pPr>
      <w:autoSpaceDE w:val="0"/>
      <w:autoSpaceDN w:val="0"/>
      <w:adjustRightInd w:val="0"/>
      <w:spacing w:after="0" w:line="240" w:lineRule="auto"/>
    </w:pPr>
    <w:rPr>
      <w:rFonts w:ascii="Minion Pro" w:hAnsi="Minion Pro" w:cs="Minion Pro"/>
      <w:color w:val="000000"/>
      <w:sz w:val="24"/>
      <w:szCs w:val="24"/>
    </w:rPr>
  </w:style>
  <w:style w:type="character" w:customStyle="1" w:styleId="A30">
    <w:name w:val="A3"/>
    <w:uiPriority w:val="99"/>
    <w:rsid w:val="000D0D56"/>
    <w:rPr>
      <w:rFonts w:cs="Minion Pro"/>
      <w:color w:val="000000"/>
      <w:sz w:val="18"/>
      <w:szCs w:val="18"/>
    </w:rPr>
  </w:style>
  <w:style w:type="paragraph" w:styleId="a6">
    <w:name w:val="footnote text"/>
    <w:basedOn w:val="a"/>
    <w:link w:val="a7"/>
    <w:uiPriority w:val="99"/>
    <w:semiHidden/>
    <w:unhideWhenUsed/>
    <w:rsid w:val="000D0D56"/>
    <w:pPr>
      <w:spacing w:after="0" w:line="240" w:lineRule="auto"/>
    </w:pPr>
    <w:rPr>
      <w:sz w:val="20"/>
      <w:szCs w:val="20"/>
    </w:rPr>
  </w:style>
  <w:style w:type="character" w:customStyle="1" w:styleId="a7">
    <w:name w:val="Текст сноски Знак"/>
    <w:basedOn w:val="a0"/>
    <w:link w:val="a6"/>
    <w:uiPriority w:val="99"/>
    <w:semiHidden/>
    <w:rsid w:val="000D0D56"/>
    <w:rPr>
      <w:sz w:val="20"/>
      <w:szCs w:val="20"/>
    </w:rPr>
  </w:style>
  <w:style w:type="character" w:styleId="a8">
    <w:name w:val="footnote reference"/>
    <w:basedOn w:val="a0"/>
    <w:uiPriority w:val="99"/>
    <w:semiHidden/>
    <w:unhideWhenUsed/>
    <w:rsid w:val="000D0D56"/>
    <w:rPr>
      <w:vertAlign w:val="superscript"/>
    </w:rPr>
  </w:style>
  <w:style w:type="character" w:styleId="a9">
    <w:name w:val="annotation reference"/>
    <w:basedOn w:val="a0"/>
    <w:uiPriority w:val="99"/>
    <w:semiHidden/>
    <w:unhideWhenUsed/>
    <w:rsid w:val="000D0D56"/>
    <w:rPr>
      <w:sz w:val="16"/>
      <w:szCs w:val="16"/>
    </w:rPr>
  </w:style>
  <w:style w:type="paragraph" w:styleId="aa">
    <w:name w:val="annotation text"/>
    <w:basedOn w:val="a"/>
    <w:link w:val="ab"/>
    <w:uiPriority w:val="99"/>
    <w:unhideWhenUsed/>
    <w:rsid w:val="000D0D56"/>
    <w:pPr>
      <w:spacing w:line="240" w:lineRule="auto"/>
    </w:pPr>
    <w:rPr>
      <w:sz w:val="20"/>
      <w:szCs w:val="20"/>
    </w:rPr>
  </w:style>
  <w:style w:type="character" w:customStyle="1" w:styleId="ab">
    <w:name w:val="Текст примечания Знак"/>
    <w:basedOn w:val="a0"/>
    <w:link w:val="aa"/>
    <w:uiPriority w:val="99"/>
    <w:rsid w:val="000D0D56"/>
    <w:rPr>
      <w:sz w:val="20"/>
      <w:szCs w:val="20"/>
    </w:rPr>
  </w:style>
  <w:style w:type="paragraph" w:styleId="ac">
    <w:name w:val="annotation subject"/>
    <w:basedOn w:val="aa"/>
    <w:next w:val="aa"/>
    <w:link w:val="ad"/>
    <w:uiPriority w:val="99"/>
    <w:semiHidden/>
    <w:unhideWhenUsed/>
    <w:rsid w:val="000D0D56"/>
    <w:rPr>
      <w:b/>
      <w:bCs/>
    </w:rPr>
  </w:style>
  <w:style w:type="character" w:customStyle="1" w:styleId="ad">
    <w:name w:val="Тема примечания Знак"/>
    <w:basedOn w:val="ab"/>
    <w:link w:val="ac"/>
    <w:uiPriority w:val="99"/>
    <w:semiHidden/>
    <w:rsid w:val="000D0D56"/>
    <w:rPr>
      <w:b/>
      <w:bCs/>
      <w:sz w:val="20"/>
      <w:szCs w:val="20"/>
    </w:rPr>
  </w:style>
  <w:style w:type="paragraph" w:styleId="ae">
    <w:name w:val="Balloon Text"/>
    <w:basedOn w:val="a"/>
    <w:link w:val="af"/>
    <w:uiPriority w:val="99"/>
    <w:semiHidden/>
    <w:unhideWhenUsed/>
    <w:rsid w:val="000D0D56"/>
    <w:pPr>
      <w:spacing w:after="0" w:line="240" w:lineRule="auto"/>
    </w:pPr>
    <w:rPr>
      <w:rFonts w:ascii="Times New Roman" w:hAnsi="Times New Roman" w:cs="Times New Roman"/>
      <w:sz w:val="18"/>
      <w:szCs w:val="18"/>
    </w:rPr>
  </w:style>
  <w:style w:type="character" w:customStyle="1" w:styleId="af">
    <w:name w:val="Текст выноски Знак"/>
    <w:basedOn w:val="a0"/>
    <w:link w:val="ae"/>
    <w:uiPriority w:val="99"/>
    <w:semiHidden/>
    <w:rsid w:val="000D0D56"/>
    <w:rPr>
      <w:rFonts w:ascii="Times New Roman" w:hAnsi="Times New Roman" w:cs="Times New Roman"/>
      <w:sz w:val="18"/>
      <w:szCs w:val="18"/>
    </w:rPr>
  </w:style>
  <w:style w:type="character" w:styleId="af0">
    <w:name w:val="Hyperlink"/>
    <w:uiPriority w:val="99"/>
    <w:unhideWhenUsed/>
    <w:rsid w:val="000D0D56"/>
    <w:rPr>
      <w:color w:val="0563C1"/>
      <w:u w:val="single"/>
    </w:rPr>
  </w:style>
  <w:style w:type="character" w:customStyle="1" w:styleId="UnresolvedMention1">
    <w:name w:val="Unresolved Mention1"/>
    <w:basedOn w:val="a0"/>
    <w:uiPriority w:val="99"/>
    <w:semiHidden/>
    <w:unhideWhenUsed/>
    <w:rsid w:val="000D0D56"/>
    <w:rPr>
      <w:color w:val="605E5C"/>
      <w:shd w:val="clear" w:color="auto" w:fill="E1DFDD"/>
    </w:rPr>
  </w:style>
  <w:style w:type="paragraph" w:styleId="af1">
    <w:name w:val="header"/>
    <w:basedOn w:val="a"/>
    <w:link w:val="af2"/>
    <w:uiPriority w:val="99"/>
    <w:unhideWhenUsed/>
    <w:rsid w:val="00805259"/>
    <w:pPr>
      <w:tabs>
        <w:tab w:val="center" w:pos="4680"/>
        <w:tab w:val="right" w:pos="9360"/>
      </w:tabs>
      <w:spacing w:after="0" w:line="240" w:lineRule="auto"/>
    </w:pPr>
  </w:style>
  <w:style w:type="character" w:customStyle="1" w:styleId="af2">
    <w:name w:val="Верхний колонтитул Знак"/>
    <w:basedOn w:val="a0"/>
    <w:link w:val="af1"/>
    <w:uiPriority w:val="99"/>
    <w:rsid w:val="00805259"/>
  </w:style>
  <w:style w:type="paragraph" w:styleId="af3">
    <w:name w:val="footer"/>
    <w:aliases w:val="Azad Footer"/>
    <w:basedOn w:val="a"/>
    <w:link w:val="af4"/>
    <w:uiPriority w:val="99"/>
    <w:unhideWhenUsed/>
    <w:qFormat/>
    <w:rsid w:val="00805259"/>
    <w:pPr>
      <w:tabs>
        <w:tab w:val="center" w:pos="4680"/>
        <w:tab w:val="right" w:pos="9360"/>
      </w:tabs>
      <w:spacing w:after="0" w:line="240" w:lineRule="auto"/>
    </w:pPr>
  </w:style>
  <w:style w:type="character" w:customStyle="1" w:styleId="af4">
    <w:name w:val="Нижний колонтитул Знак"/>
    <w:aliases w:val="Azad Footer Знак"/>
    <w:basedOn w:val="a0"/>
    <w:link w:val="af3"/>
    <w:uiPriority w:val="99"/>
    <w:rsid w:val="00805259"/>
  </w:style>
  <w:style w:type="character" w:styleId="af5">
    <w:name w:val="Emphasis"/>
    <w:basedOn w:val="a0"/>
    <w:uiPriority w:val="20"/>
    <w:qFormat/>
    <w:rsid w:val="00673AC7"/>
    <w:rPr>
      <w:i/>
      <w:iCs/>
    </w:rPr>
  </w:style>
  <w:style w:type="paragraph" w:styleId="af6">
    <w:name w:val="Revision"/>
    <w:hidden/>
    <w:uiPriority w:val="99"/>
    <w:semiHidden/>
    <w:rsid w:val="006865A1"/>
    <w:pPr>
      <w:spacing w:after="0" w:line="240" w:lineRule="auto"/>
    </w:pPr>
  </w:style>
  <w:style w:type="table" w:styleId="af7">
    <w:name w:val="Table Grid"/>
    <w:basedOn w:val="a1"/>
    <w:uiPriority w:val="39"/>
    <w:unhideWhenUsed/>
    <w:rsid w:val="00C61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a1"/>
    <w:uiPriority w:val="42"/>
    <w:rsid w:val="00C6136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Title">
    <w:name w:val="EndNote Bibliography Title"/>
    <w:basedOn w:val="a"/>
    <w:link w:val="EndNoteBibliographyTitleChar"/>
    <w:rsid w:val="001F7D1D"/>
    <w:pPr>
      <w:bidi/>
      <w:spacing w:after="0"/>
      <w:jc w:val="center"/>
    </w:pPr>
    <w:rPr>
      <w:rFonts w:ascii="Arial" w:eastAsia="Arial" w:hAnsi="Arial" w:cs="Arial"/>
      <w:b/>
      <w:noProof/>
      <w:sz w:val="26"/>
      <w:szCs w:val="28"/>
    </w:rPr>
  </w:style>
  <w:style w:type="character" w:customStyle="1" w:styleId="EndNoteBibliographyTitleChar">
    <w:name w:val="EndNote Bibliography Title Char"/>
    <w:basedOn w:val="a0"/>
    <w:link w:val="EndNoteBibliographyTitle"/>
    <w:rsid w:val="001F7D1D"/>
    <w:rPr>
      <w:rFonts w:ascii="Arial" w:eastAsia="Arial" w:hAnsi="Arial" w:cs="Arial"/>
      <w:b/>
      <w:noProof/>
      <w:sz w:val="26"/>
      <w:szCs w:val="28"/>
    </w:rPr>
  </w:style>
  <w:style w:type="paragraph" w:customStyle="1" w:styleId="EndNoteBibliography">
    <w:name w:val="EndNote Bibliography"/>
    <w:basedOn w:val="a"/>
    <w:link w:val="EndNoteBibliographyChar"/>
    <w:rsid w:val="001F7D1D"/>
    <w:pPr>
      <w:bidi/>
      <w:spacing w:after="240" w:line="240" w:lineRule="auto"/>
    </w:pPr>
    <w:rPr>
      <w:rFonts w:ascii="Arial" w:eastAsia="Arial" w:hAnsi="Arial" w:cs="Arial"/>
      <w:b/>
      <w:noProof/>
      <w:sz w:val="26"/>
      <w:szCs w:val="28"/>
    </w:rPr>
  </w:style>
  <w:style w:type="character" w:customStyle="1" w:styleId="EndNoteBibliographyChar">
    <w:name w:val="EndNote Bibliography Char"/>
    <w:basedOn w:val="a0"/>
    <w:link w:val="EndNoteBibliography"/>
    <w:rsid w:val="001F7D1D"/>
    <w:rPr>
      <w:rFonts w:ascii="Arial" w:eastAsia="Arial" w:hAnsi="Arial" w:cs="Arial"/>
      <w:b/>
      <w:noProof/>
      <w:sz w:val="26"/>
      <w:szCs w:val="28"/>
    </w:rPr>
  </w:style>
  <w:style w:type="character" w:customStyle="1" w:styleId="title-text">
    <w:name w:val="title-text"/>
    <w:rsid w:val="0032162E"/>
  </w:style>
  <w:style w:type="paragraph" w:styleId="af8">
    <w:name w:val="Subtitle"/>
    <w:basedOn w:val="a"/>
    <w:next w:val="a"/>
    <w:link w:val="af9"/>
    <w:rsid w:val="003D73A1"/>
    <w:pPr>
      <w:keepNext/>
      <w:keepLines/>
      <w:bidi/>
      <w:spacing w:before="360" w:after="80" w:line="259" w:lineRule="auto"/>
    </w:pPr>
    <w:rPr>
      <w:rFonts w:ascii="Georgia" w:eastAsia="Georgia" w:hAnsi="Georgia" w:cs="Georgia"/>
      <w:i/>
      <w:color w:val="666666"/>
      <w:sz w:val="48"/>
      <w:szCs w:val="48"/>
      <w:lang w:bidi="fa-IR"/>
    </w:rPr>
  </w:style>
  <w:style w:type="character" w:customStyle="1" w:styleId="af9">
    <w:name w:val="Подзаголовок Знак"/>
    <w:basedOn w:val="a0"/>
    <w:link w:val="af8"/>
    <w:rsid w:val="003D73A1"/>
    <w:rPr>
      <w:rFonts w:ascii="Georgia" w:eastAsia="Georgia" w:hAnsi="Georgia" w:cs="Georgia"/>
      <w:i/>
      <w:color w:val="666666"/>
      <w:sz w:val="48"/>
      <w:szCs w:val="48"/>
      <w:lang w:bidi="fa-IR"/>
    </w:rPr>
  </w:style>
  <w:style w:type="character" w:customStyle="1" w:styleId="A40">
    <w:name w:val="A4"/>
    <w:uiPriority w:val="99"/>
    <w:rsid w:val="00D218C8"/>
    <w:rPr>
      <w:rFonts w:cs="Arial"/>
      <w:color w:val="000000"/>
      <w:sz w:val="14"/>
      <w:szCs w:val="14"/>
    </w:rPr>
  </w:style>
  <w:style w:type="character" w:customStyle="1" w:styleId="docsum-journal-citation">
    <w:name w:val="docsum-journal-citation"/>
    <w:basedOn w:val="a0"/>
    <w:rsid w:val="00D218C8"/>
  </w:style>
  <w:style w:type="character" w:customStyle="1" w:styleId="docsum-authors">
    <w:name w:val="docsum-authors"/>
    <w:basedOn w:val="a0"/>
    <w:rsid w:val="00D218C8"/>
  </w:style>
  <w:style w:type="character" w:customStyle="1" w:styleId="hgkelc">
    <w:name w:val="hgkelc"/>
    <w:basedOn w:val="a0"/>
    <w:rsid w:val="00F11F15"/>
  </w:style>
  <w:style w:type="character" w:customStyle="1" w:styleId="jpfdse">
    <w:name w:val="jpfdse"/>
    <w:basedOn w:val="a0"/>
    <w:rsid w:val="00F11F15"/>
  </w:style>
  <w:style w:type="character" w:customStyle="1" w:styleId="20">
    <w:name w:val="Заголовок 2 Знак"/>
    <w:basedOn w:val="a0"/>
    <w:link w:val="2"/>
    <w:uiPriority w:val="9"/>
    <w:semiHidden/>
    <w:rsid w:val="00BE54FC"/>
    <w:rPr>
      <w:rFonts w:asciiTheme="majorHAnsi" w:eastAsiaTheme="majorEastAsia" w:hAnsiTheme="majorHAnsi" w:cstheme="majorBidi"/>
      <w:color w:val="2F5496" w:themeColor="accent1" w:themeShade="BF"/>
      <w:sz w:val="26"/>
      <w:szCs w:val="26"/>
    </w:rPr>
  </w:style>
  <w:style w:type="character" w:customStyle="1" w:styleId="UnresolvedMention2">
    <w:name w:val="Unresolved Mention2"/>
    <w:basedOn w:val="a0"/>
    <w:uiPriority w:val="99"/>
    <w:semiHidden/>
    <w:unhideWhenUsed/>
    <w:rsid w:val="00CB2867"/>
    <w:rPr>
      <w:color w:val="605E5C"/>
      <w:shd w:val="clear" w:color="auto" w:fill="E1DFDD"/>
    </w:rPr>
  </w:style>
  <w:style w:type="character" w:customStyle="1" w:styleId="UnresolvedMention">
    <w:name w:val="Unresolved Mention"/>
    <w:basedOn w:val="a0"/>
    <w:uiPriority w:val="99"/>
    <w:semiHidden/>
    <w:unhideWhenUsed/>
    <w:rsid w:val="00F01112"/>
    <w:rPr>
      <w:color w:val="605E5C"/>
      <w:shd w:val="clear" w:color="auto" w:fill="E1DFDD"/>
    </w:rPr>
  </w:style>
  <w:style w:type="paragraph" w:styleId="afa">
    <w:name w:val="Normal (Web)"/>
    <w:basedOn w:val="a"/>
    <w:uiPriority w:val="99"/>
    <w:semiHidden/>
    <w:unhideWhenUsed/>
    <w:rsid w:val="00F01112"/>
    <w:pPr>
      <w:spacing w:before="100" w:beforeAutospacing="1" w:after="100" w:afterAutospacing="1" w:line="240" w:lineRule="auto"/>
    </w:pPr>
    <w:rPr>
      <w:rFonts w:ascii="Times New Roman" w:eastAsia="Times New Roman" w:hAnsi="Times New Roman" w:cs="Times New Roman"/>
      <w:sz w:val="24"/>
      <w:szCs w:val="24"/>
    </w:rPr>
  </w:style>
  <w:style w:type="character" w:styleId="afb">
    <w:name w:val="FollowedHyperlink"/>
    <w:basedOn w:val="a0"/>
    <w:uiPriority w:val="99"/>
    <w:semiHidden/>
    <w:unhideWhenUsed/>
    <w:rsid w:val="00434887"/>
    <w:rPr>
      <w:color w:val="954F72" w:themeColor="followedHyperlink"/>
      <w:u w:val="single"/>
    </w:rPr>
  </w:style>
  <w:style w:type="character" w:styleId="afc">
    <w:name w:val="line number"/>
    <w:basedOn w:val="a0"/>
    <w:uiPriority w:val="99"/>
    <w:semiHidden/>
    <w:unhideWhenUsed/>
    <w:rsid w:val="008425DA"/>
  </w:style>
  <w:style w:type="character" w:customStyle="1" w:styleId="40">
    <w:name w:val="Заголовок 4 Знак"/>
    <w:basedOn w:val="a0"/>
    <w:link w:val="4"/>
    <w:uiPriority w:val="9"/>
    <w:semiHidden/>
    <w:rsid w:val="00DE1F50"/>
    <w:rPr>
      <w:rFonts w:asciiTheme="majorHAnsi" w:eastAsiaTheme="majorEastAsia" w:hAnsiTheme="majorHAnsi" w:cstheme="majorBidi"/>
      <w:i/>
      <w:iCs/>
      <w:color w:val="2F5496" w:themeColor="accent1" w:themeShade="BF"/>
    </w:rPr>
  </w:style>
  <w:style w:type="character" w:styleId="afd">
    <w:name w:val="Placeholder Text"/>
    <w:basedOn w:val="a0"/>
    <w:uiPriority w:val="99"/>
    <w:semiHidden/>
    <w:rsid w:val="0045623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424513">
      <w:bodyDiv w:val="1"/>
      <w:marLeft w:val="0"/>
      <w:marRight w:val="0"/>
      <w:marTop w:val="0"/>
      <w:marBottom w:val="0"/>
      <w:divBdr>
        <w:top w:val="none" w:sz="0" w:space="0" w:color="auto"/>
        <w:left w:val="none" w:sz="0" w:space="0" w:color="auto"/>
        <w:bottom w:val="none" w:sz="0" w:space="0" w:color="auto"/>
        <w:right w:val="none" w:sz="0" w:space="0" w:color="auto"/>
      </w:divBdr>
      <w:divsChild>
        <w:div w:id="374742952">
          <w:marLeft w:val="0"/>
          <w:marRight w:val="0"/>
          <w:marTop w:val="0"/>
          <w:marBottom w:val="0"/>
          <w:divBdr>
            <w:top w:val="none" w:sz="0" w:space="0" w:color="auto"/>
            <w:left w:val="none" w:sz="0" w:space="0" w:color="auto"/>
            <w:bottom w:val="none" w:sz="0" w:space="0" w:color="auto"/>
            <w:right w:val="none" w:sz="0" w:space="0" w:color="auto"/>
          </w:divBdr>
          <w:divsChild>
            <w:div w:id="200173509">
              <w:marLeft w:val="0"/>
              <w:marRight w:val="0"/>
              <w:marTop w:val="0"/>
              <w:marBottom w:val="0"/>
              <w:divBdr>
                <w:top w:val="none" w:sz="0" w:space="0" w:color="auto"/>
                <w:left w:val="none" w:sz="0" w:space="0" w:color="auto"/>
                <w:bottom w:val="none" w:sz="0" w:space="0" w:color="auto"/>
                <w:right w:val="none" w:sz="0" w:space="0" w:color="auto"/>
              </w:divBdr>
            </w:div>
          </w:divsChild>
        </w:div>
        <w:div w:id="717557291">
          <w:marLeft w:val="0"/>
          <w:marRight w:val="0"/>
          <w:marTop w:val="0"/>
          <w:marBottom w:val="0"/>
          <w:divBdr>
            <w:top w:val="none" w:sz="0" w:space="0" w:color="auto"/>
            <w:left w:val="none" w:sz="0" w:space="0" w:color="auto"/>
            <w:bottom w:val="none" w:sz="0" w:space="0" w:color="auto"/>
            <w:right w:val="none" w:sz="0" w:space="0" w:color="auto"/>
          </w:divBdr>
          <w:divsChild>
            <w:div w:id="210213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705752">
      <w:bodyDiv w:val="1"/>
      <w:marLeft w:val="0"/>
      <w:marRight w:val="0"/>
      <w:marTop w:val="0"/>
      <w:marBottom w:val="0"/>
      <w:divBdr>
        <w:top w:val="none" w:sz="0" w:space="0" w:color="auto"/>
        <w:left w:val="none" w:sz="0" w:space="0" w:color="auto"/>
        <w:bottom w:val="none" w:sz="0" w:space="0" w:color="auto"/>
        <w:right w:val="none" w:sz="0" w:space="0" w:color="auto"/>
      </w:divBdr>
    </w:div>
    <w:div w:id="1077706548">
      <w:bodyDiv w:val="1"/>
      <w:marLeft w:val="0"/>
      <w:marRight w:val="0"/>
      <w:marTop w:val="0"/>
      <w:marBottom w:val="0"/>
      <w:divBdr>
        <w:top w:val="none" w:sz="0" w:space="0" w:color="auto"/>
        <w:left w:val="none" w:sz="0" w:space="0" w:color="auto"/>
        <w:bottom w:val="none" w:sz="0" w:space="0" w:color="auto"/>
        <w:right w:val="none" w:sz="0" w:space="0" w:color="auto"/>
      </w:divBdr>
    </w:div>
    <w:div w:id="1177619893">
      <w:bodyDiv w:val="1"/>
      <w:marLeft w:val="0"/>
      <w:marRight w:val="0"/>
      <w:marTop w:val="0"/>
      <w:marBottom w:val="0"/>
      <w:divBdr>
        <w:top w:val="none" w:sz="0" w:space="0" w:color="auto"/>
        <w:left w:val="none" w:sz="0" w:space="0" w:color="auto"/>
        <w:bottom w:val="none" w:sz="0" w:space="0" w:color="auto"/>
        <w:right w:val="none" w:sz="0" w:space="0" w:color="auto"/>
      </w:divBdr>
    </w:div>
    <w:div w:id="1361516897">
      <w:bodyDiv w:val="1"/>
      <w:marLeft w:val="0"/>
      <w:marRight w:val="0"/>
      <w:marTop w:val="0"/>
      <w:marBottom w:val="0"/>
      <w:divBdr>
        <w:top w:val="none" w:sz="0" w:space="0" w:color="auto"/>
        <w:left w:val="none" w:sz="0" w:space="0" w:color="auto"/>
        <w:bottom w:val="none" w:sz="0" w:space="0" w:color="auto"/>
        <w:right w:val="none" w:sz="0" w:space="0" w:color="auto"/>
      </w:divBdr>
    </w:div>
    <w:div w:id="1439907431">
      <w:bodyDiv w:val="1"/>
      <w:marLeft w:val="0"/>
      <w:marRight w:val="0"/>
      <w:marTop w:val="0"/>
      <w:marBottom w:val="0"/>
      <w:divBdr>
        <w:top w:val="none" w:sz="0" w:space="0" w:color="auto"/>
        <w:left w:val="none" w:sz="0" w:space="0" w:color="auto"/>
        <w:bottom w:val="none" w:sz="0" w:space="0" w:color="auto"/>
        <w:right w:val="none" w:sz="0" w:space="0" w:color="auto"/>
      </w:divBdr>
      <w:divsChild>
        <w:div w:id="1201672202">
          <w:marLeft w:val="0"/>
          <w:marRight w:val="0"/>
          <w:marTop w:val="0"/>
          <w:marBottom w:val="0"/>
          <w:divBdr>
            <w:top w:val="none" w:sz="0" w:space="0" w:color="auto"/>
            <w:left w:val="none" w:sz="0" w:space="0" w:color="auto"/>
            <w:bottom w:val="none" w:sz="0" w:space="0" w:color="auto"/>
            <w:right w:val="none" w:sz="0" w:space="0" w:color="auto"/>
          </w:divBdr>
          <w:divsChild>
            <w:div w:id="492335374">
              <w:marLeft w:val="0"/>
              <w:marRight w:val="0"/>
              <w:marTop w:val="0"/>
              <w:marBottom w:val="0"/>
              <w:divBdr>
                <w:top w:val="single" w:sz="2" w:space="0" w:color="E3E3E3"/>
                <w:left w:val="single" w:sz="2" w:space="0" w:color="E3E3E3"/>
                <w:bottom w:val="single" w:sz="2" w:space="0" w:color="E3E3E3"/>
                <w:right w:val="single" w:sz="2" w:space="0" w:color="E3E3E3"/>
              </w:divBdr>
              <w:divsChild>
                <w:div w:id="154078969">
                  <w:marLeft w:val="0"/>
                  <w:marRight w:val="0"/>
                  <w:marTop w:val="0"/>
                  <w:marBottom w:val="0"/>
                  <w:divBdr>
                    <w:top w:val="single" w:sz="2" w:space="0" w:color="E3E3E3"/>
                    <w:left w:val="none" w:sz="0" w:space="0" w:color="auto"/>
                    <w:bottom w:val="single" w:sz="2" w:space="0" w:color="E3E3E3"/>
                    <w:right w:val="none" w:sz="0" w:space="0" w:color="auto"/>
                  </w:divBdr>
                </w:div>
                <w:div w:id="220944688">
                  <w:marLeft w:val="0"/>
                  <w:marRight w:val="0"/>
                  <w:marTop w:val="0"/>
                  <w:marBottom w:val="0"/>
                  <w:divBdr>
                    <w:top w:val="single" w:sz="2" w:space="0" w:color="E3E3E3"/>
                    <w:left w:val="none" w:sz="0" w:space="0" w:color="auto"/>
                    <w:bottom w:val="single" w:sz="2" w:space="0" w:color="E3E3E3"/>
                    <w:right w:val="none" w:sz="0" w:space="0" w:color="auto"/>
                  </w:divBdr>
                </w:div>
                <w:div w:id="326595097">
                  <w:marLeft w:val="0"/>
                  <w:marRight w:val="0"/>
                  <w:marTop w:val="0"/>
                  <w:marBottom w:val="0"/>
                  <w:divBdr>
                    <w:top w:val="single" w:sz="2" w:space="0" w:color="E3E3E3"/>
                    <w:left w:val="none" w:sz="0" w:space="0" w:color="auto"/>
                    <w:bottom w:val="single" w:sz="2" w:space="0" w:color="E3E3E3"/>
                    <w:right w:val="none" w:sz="0" w:space="0" w:color="auto"/>
                  </w:divBdr>
                </w:div>
                <w:div w:id="705521903">
                  <w:marLeft w:val="0"/>
                  <w:marRight w:val="0"/>
                  <w:marTop w:val="0"/>
                  <w:marBottom w:val="0"/>
                  <w:divBdr>
                    <w:top w:val="single" w:sz="2" w:space="0" w:color="E3E3E3"/>
                    <w:left w:val="none" w:sz="0" w:space="0" w:color="auto"/>
                    <w:bottom w:val="single" w:sz="2" w:space="0" w:color="E3E3E3"/>
                    <w:right w:val="none" w:sz="0" w:space="0" w:color="auto"/>
                  </w:divBdr>
                </w:div>
                <w:div w:id="897590066">
                  <w:marLeft w:val="0"/>
                  <w:marRight w:val="0"/>
                  <w:marTop w:val="0"/>
                  <w:marBottom w:val="0"/>
                  <w:divBdr>
                    <w:top w:val="single" w:sz="2" w:space="0" w:color="E3E3E3"/>
                    <w:left w:val="none" w:sz="0" w:space="0" w:color="auto"/>
                    <w:bottom w:val="single" w:sz="2" w:space="0" w:color="E3E3E3"/>
                    <w:right w:val="none" w:sz="0" w:space="0" w:color="auto"/>
                  </w:divBdr>
                </w:div>
                <w:div w:id="980042032">
                  <w:marLeft w:val="0"/>
                  <w:marRight w:val="0"/>
                  <w:marTop w:val="0"/>
                  <w:marBottom w:val="0"/>
                  <w:divBdr>
                    <w:top w:val="single" w:sz="2" w:space="0" w:color="E3E3E3"/>
                    <w:left w:val="none" w:sz="0" w:space="0" w:color="auto"/>
                    <w:bottom w:val="single" w:sz="2" w:space="0" w:color="E3E3E3"/>
                    <w:right w:val="none" w:sz="0" w:space="0" w:color="auto"/>
                  </w:divBdr>
                </w:div>
                <w:div w:id="1028875629">
                  <w:marLeft w:val="0"/>
                  <w:marRight w:val="0"/>
                  <w:marTop w:val="0"/>
                  <w:marBottom w:val="0"/>
                  <w:divBdr>
                    <w:top w:val="single" w:sz="2" w:space="0" w:color="E3E3E3"/>
                    <w:left w:val="none" w:sz="0" w:space="0" w:color="auto"/>
                    <w:bottom w:val="single" w:sz="2" w:space="0" w:color="E3E3E3"/>
                    <w:right w:val="none" w:sz="0" w:space="0" w:color="auto"/>
                  </w:divBdr>
                </w:div>
                <w:div w:id="1054811810">
                  <w:marLeft w:val="0"/>
                  <w:marRight w:val="0"/>
                  <w:marTop w:val="0"/>
                  <w:marBottom w:val="0"/>
                  <w:divBdr>
                    <w:top w:val="single" w:sz="2" w:space="0" w:color="E3E3E3"/>
                    <w:left w:val="none" w:sz="0" w:space="0" w:color="auto"/>
                    <w:bottom w:val="single" w:sz="2" w:space="0" w:color="E3E3E3"/>
                    <w:right w:val="none" w:sz="0" w:space="0" w:color="auto"/>
                  </w:divBdr>
                </w:div>
                <w:div w:id="1091852930">
                  <w:marLeft w:val="0"/>
                  <w:marRight w:val="0"/>
                  <w:marTop w:val="0"/>
                  <w:marBottom w:val="0"/>
                  <w:divBdr>
                    <w:top w:val="single" w:sz="2" w:space="0" w:color="E3E3E3"/>
                    <w:left w:val="none" w:sz="0" w:space="0" w:color="auto"/>
                    <w:bottom w:val="single" w:sz="2" w:space="0" w:color="E3E3E3"/>
                    <w:right w:val="none" w:sz="0" w:space="0" w:color="auto"/>
                  </w:divBdr>
                </w:div>
                <w:div w:id="1217856712">
                  <w:marLeft w:val="0"/>
                  <w:marRight w:val="0"/>
                  <w:marTop w:val="0"/>
                  <w:marBottom w:val="0"/>
                  <w:divBdr>
                    <w:top w:val="single" w:sz="2" w:space="0" w:color="E3E3E3"/>
                    <w:left w:val="none" w:sz="0" w:space="0" w:color="auto"/>
                    <w:bottom w:val="single" w:sz="2" w:space="0" w:color="E3E3E3"/>
                    <w:right w:val="none" w:sz="0" w:space="0" w:color="auto"/>
                  </w:divBdr>
                </w:div>
                <w:div w:id="1266037950">
                  <w:marLeft w:val="0"/>
                  <w:marRight w:val="0"/>
                  <w:marTop w:val="0"/>
                  <w:marBottom w:val="0"/>
                  <w:divBdr>
                    <w:top w:val="single" w:sz="2" w:space="0" w:color="E3E3E3"/>
                    <w:left w:val="none" w:sz="0" w:space="0" w:color="auto"/>
                    <w:bottom w:val="single" w:sz="2" w:space="0" w:color="E3E3E3"/>
                    <w:right w:val="none" w:sz="0" w:space="0" w:color="auto"/>
                  </w:divBdr>
                </w:div>
                <w:div w:id="1268076990">
                  <w:marLeft w:val="0"/>
                  <w:marRight w:val="0"/>
                  <w:marTop w:val="0"/>
                  <w:marBottom w:val="0"/>
                  <w:divBdr>
                    <w:top w:val="single" w:sz="2" w:space="0" w:color="E3E3E3"/>
                    <w:left w:val="none" w:sz="0" w:space="0" w:color="auto"/>
                    <w:bottom w:val="single" w:sz="2" w:space="0" w:color="E3E3E3"/>
                    <w:right w:val="none" w:sz="0" w:space="0" w:color="auto"/>
                  </w:divBdr>
                </w:div>
                <w:div w:id="1286544189">
                  <w:marLeft w:val="0"/>
                  <w:marRight w:val="0"/>
                  <w:marTop w:val="0"/>
                  <w:marBottom w:val="0"/>
                  <w:divBdr>
                    <w:top w:val="single" w:sz="2" w:space="0" w:color="E3E3E3"/>
                    <w:left w:val="none" w:sz="0" w:space="0" w:color="auto"/>
                    <w:bottom w:val="single" w:sz="2" w:space="0" w:color="E3E3E3"/>
                    <w:right w:val="none" w:sz="0" w:space="0" w:color="auto"/>
                  </w:divBdr>
                </w:div>
                <w:div w:id="1607957037">
                  <w:marLeft w:val="0"/>
                  <w:marRight w:val="0"/>
                  <w:marTop w:val="0"/>
                  <w:marBottom w:val="0"/>
                  <w:divBdr>
                    <w:top w:val="single" w:sz="2" w:space="0" w:color="E3E3E3"/>
                    <w:left w:val="none" w:sz="0" w:space="0" w:color="auto"/>
                    <w:bottom w:val="single" w:sz="2" w:space="0" w:color="E3E3E3"/>
                    <w:right w:val="none" w:sz="0" w:space="0" w:color="auto"/>
                  </w:divBdr>
                </w:div>
                <w:div w:id="1643608753">
                  <w:marLeft w:val="0"/>
                  <w:marRight w:val="0"/>
                  <w:marTop w:val="0"/>
                  <w:marBottom w:val="0"/>
                  <w:divBdr>
                    <w:top w:val="single" w:sz="2" w:space="0" w:color="E3E3E3"/>
                    <w:left w:val="none" w:sz="0" w:space="0" w:color="auto"/>
                    <w:bottom w:val="single" w:sz="2" w:space="0" w:color="E3E3E3"/>
                    <w:right w:val="none" w:sz="0" w:space="0" w:color="auto"/>
                  </w:divBdr>
                </w:div>
                <w:div w:id="1720663302">
                  <w:marLeft w:val="0"/>
                  <w:marRight w:val="0"/>
                  <w:marTop w:val="0"/>
                  <w:marBottom w:val="0"/>
                  <w:divBdr>
                    <w:top w:val="single" w:sz="2" w:space="0" w:color="E3E3E3"/>
                    <w:left w:val="none" w:sz="0" w:space="0" w:color="auto"/>
                    <w:bottom w:val="single" w:sz="2" w:space="0" w:color="E3E3E3"/>
                    <w:right w:val="none" w:sz="0" w:space="0" w:color="auto"/>
                  </w:divBdr>
                </w:div>
                <w:div w:id="1902135661">
                  <w:marLeft w:val="0"/>
                  <w:marRight w:val="0"/>
                  <w:marTop w:val="0"/>
                  <w:marBottom w:val="0"/>
                  <w:divBdr>
                    <w:top w:val="single" w:sz="2" w:space="0" w:color="E3E3E3"/>
                    <w:left w:val="none" w:sz="0" w:space="0" w:color="auto"/>
                    <w:bottom w:val="single" w:sz="2" w:space="0" w:color="E3E3E3"/>
                    <w:right w:val="none" w:sz="0" w:space="0" w:color="auto"/>
                  </w:divBdr>
                </w:div>
                <w:div w:id="1909413957">
                  <w:marLeft w:val="0"/>
                  <w:marRight w:val="0"/>
                  <w:marTop w:val="0"/>
                  <w:marBottom w:val="0"/>
                  <w:divBdr>
                    <w:top w:val="single" w:sz="2" w:space="0" w:color="E3E3E3"/>
                    <w:left w:val="none" w:sz="0" w:space="0" w:color="auto"/>
                    <w:bottom w:val="single" w:sz="2" w:space="0" w:color="E3E3E3"/>
                    <w:right w:val="none" w:sz="0" w:space="0" w:color="auto"/>
                  </w:divBdr>
                </w:div>
                <w:div w:id="1918902473">
                  <w:marLeft w:val="0"/>
                  <w:marRight w:val="0"/>
                  <w:marTop w:val="0"/>
                  <w:marBottom w:val="0"/>
                  <w:divBdr>
                    <w:top w:val="single" w:sz="2" w:space="0" w:color="E3E3E3"/>
                    <w:left w:val="none" w:sz="0" w:space="0" w:color="auto"/>
                    <w:bottom w:val="single" w:sz="2" w:space="0" w:color="E3E3E3"/>
                    <w:right w:val="none" w:sz="0" w:space="0" w:color="auto"/>
                  </w:divBdr>
                </w:div>
                <w:div w:id="2089113966">
                  <w:marLeft w:val="0"/>
                  <w:marRight w:val="0"/>
                  <w:marTop w:val="0"/>
                  <w:marBottom w:val="0"/>
                  <w:divBdr>
                    <w:top w:val="single" w:sz="2" w:space="0" w:color="E3E3E3"/>
                    <w:left w:val="none" w:sz="0" w:space="0" w:color="auto"/>
                    <w:bottom w:val="single" w:sz="2" w:space="0" w:color="E3E3E3"/>
                    <w:right w:val="none" w:sz="0" w:space="0" w:color="auto"/>
                  </w:divBdr>
                </w:div>
                <w:div w:id="2125074316">
                  <w:marLeft w:val="0"/>
                  <w:marRight w:val="0"/>
                  <w:marTop w:val="0"/>
                  <w:marBottom w:val="0"/>
                  <w:divBdr>
                    <w:top w:val="single" w:sz="2" w:space="0" w:color="E3E3E3"/>
                    <w:left w:val="none" w:sz="0" w:space="0" w:color="auto"/>
                    <w:bottom w:val="single" w:sz="2" w:space="0" w:color="E3E3E3"/>
                    <w:right w:val="none" w:sz="0" w:space="0" w:color="auto"/>
                  </w:divBdr>
                </w:div>
              </w:divsChild>
            </w:div>
          </w:divsChild>
        </w:div>
      </w:divsChild>
    </w:div>
    <w:div w:id="1552115238">
      <w:bodyDiv w:val="1"/>
      <w:marLeft w:val="0"/>
      <w:marRight w:val="0"/>
      <w:marTop w:val="0"/>
      <w:marBottom w:val="0"/>
      <w:divBdr>
        <w:top w:val="none" w:sz="0" w:space="0" w:color="auto"/>
        <w:left w:val="none" w:sz="0" w:space="0" w:color="auto"/>
        <w:bottom w:val="none" w:sz="0" w:space="0" w:color="auto"/>
        <w:right w:val="none" w:sz="0" w:space="0" w:color="auto"/>
      </w:divBdr>
      <w:divsChild>
        <w:div w:id="256907605">
          <w:marLeft w:val="0"/>
          <w:marRight w:val="0"/>
          <w:marTop w:val="0"/>
          <w:marBottom w:val="0"/>
          <w:divBdr>
            <w:top w:val="none" w:sz="0" w:space="0" w:color="auto"/>
            <w:left w:val="none" w:sz="0" w:space="0" w:color="auto"/>
            <w:bottom w:val="none" w:sz="0" w:space="0" w:color="auto"/>
            <w:right w:val="none" w:sz="0" w:space="0" w:color="auto"/>
          </w:divBdr>
          <w:divsChild>
            <w:div w:id="134296837">
              <w:marLeft w:val="0"/>
              <w:marRight w:val="0"/>
              <w:marTop w:val="0"/>
              <w:marBottom w:val="0"/>
              <w:divBdr>
                <w:top w:val="none" w:sz="0" w:space="0" w:color="auto"/>
                <w:left w:val="none" w:sz="0" w:space="0" w:color="auto"/>
                <w:bottom w:val="none" w:sz="0" w:space="0" w:color="auto"/>
                <w:right w:val="none" w:sz="0" w:space="0" w:color="auto"/>
              </w:divBdr>
              <w:divsChild>
                <w:div w:id="2051611803">
                  <w:marLeft w:val="0"/>
                  <w:marRight w:val="0"/>
                  <w:marTop w:val="0"/>
                  <w:marBottom w:val="208"/>
                  <w:divBdr>
                    <w:top w:val="none" w:sz="0" w:space="0" w:color="auto"/>
                    <w:left w:val="none" w:sz="0" w:space="0" w:color="auto"/>
                    <w:bottom w:val="none" w:sz="0" w:space="0" w:color="auto"/>
                    <w:right w:val="none" w:sz="0" w:space="0" w:color="auto"/>
                  </w:divBdr>
                  <w:divsChild>
                    <w:div w:id="985358623">
                      <w:marLeft w:val="0"/>
                      <w:marRight w:val="0"/>
                      <w:marTop w:val="0"/>
                      <w:marBottom w:val="0"/>
                      <w:divBdr>
                        <w:top w:val="none" w:sz="0" w:space="0" w:color="auto"/>
                        <w:left w:val="none" w:sz="0" w:space="0" w:color="auto"/>
                        <w:bottom w:val="none" w:sz="0" w:space="0" w:color="auto"/>
                        <w:right w:val="none" w:sz="0" w:space="0" w:color="auto"/>
                      </w:divBdr>
                      <w:divsChild>
                        <w:div w:id="162169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251943">
          <w:marLeft w:val="0"/>
          <w:marRight w:val="0"/>
          <w:marTop w:val="0"/>
          <w:marBottom w:val="0"/>
          <w:divBdr>
            <w:top w:val="none" w:sz="0" w:space="0" w:color="auto"/>
            <w:left w:val="none" w:sz="0" w:space="0" w:color="auto"/>
            <w:bottom w:val="none" w:sz="0" w:space="0" w:color="auto"/>
            <w:right w:val="none" w:sz="0" w:space="0" w:color="auto"/>
          </w:divBdr>
          <w:divsChild>
            <w:div w:id="905652872">
              <w:marLeft w:val="0"/>
              <w:marRight w:val="0"/>
              <w:marTop w:val="0"/>
              <w:marBottom w:val="0"/>
              <w:divBdr>
                <w:top w:val="single" w:sz="2" w:space="0" w:color="D9E0E4"/>
                <w:left w:val="single" w:sz="2" w:space="0" w:color="D9E0E4"/>
                <w:bottom w:val="single" w:sz="2" w:space="0" w:color="D9E0E4"/>
                <w:right w:val="single" w:sz="2" w:space="0" w:color="D9E0E4"/>
              </w:divBdr>
              <w:divsChild>
                <w:div w:id="87195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373425">
          <w:marLeft w:val="0"/>
          <w:marRight w:val="0"/>
          <w:marTop w:val="0"/>
          <w:marBottom w:val="0"/>
          <w:divBdr>
            <w:top w:val="none" w:sz="0" w:space="0" w:color="auto"/>
            <w:left w:val="none" w:sz="0" w:space="0" w:color="auto"/>
            <w:bottom w:val="none" w:sz="0" w:space="0" w:color="auto"/>
            <w:right w:val="none" w:sz="0" w:space="0" w:color="auto"/>
          </w:divBdr>
        </w:div>
      </w:divsChild>
    </w:div>
    <w:div w:id="19286131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3CE21A5-FED6-4D37-93D6-E8D5310B0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1293</TotalTime>
  <Pages>10</Pages>
  <Words>4971</Words>
  <Characters>28337</Characters>
  <Application>Microsoft Office Word</Application>
  <DocSecurity>0</DocSecurity>
  <Lines>236</Lines>
  <Paragraphs>66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Головинов Игорь Викторович</cp:lastModifiedBy>
  <cp:revision>22</cp:revision>
  <cp:lastPrinted>2025-09-01T12:57:00Z</cp:lastPrinted>
  <dcterms:created xsi:type="dcterms:W3CDTF">2023-11-19T07:15:00Z</dcterms:created>
  <dcterms:modified xsi:type="dcterms:W3CDTF">2026-02-20T10:59:00Z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18d98f63-c154-3d96-b3d0-6d9d2f32a47b</vt:lpwstr>
  </property>
  <property fmtid="{D5CDD505-2E9C-101B-9397-08002B2CF9AE}" pid="4" name="Mendeley Citation Style_1">
    <vt:lpwstr>http://www.zotero.org/styles/ieee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