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BF3A6" w14:textId="113A2E72" w:rsidR="000C4E2B" w:rsidRPr="00253BAA" w:rsidRDefault="00D83FA9" w:rsidP="00DA553D">
      <w:pPr>
        <w:pStyle w:val="Heading2"/>
        <w:bidi w:val="0"/>
        <w:spacing w:line="360" w:lineRule="auto"/>
        <w:contextualSpacing/>
        <w:jc w:val="center"/>
        <w:rPr>
          <w:rStyle w:val="Strong"/>
          <w:rFonts w:asciiTheme="majorBidi" w:eastAsia="Times New Roman" w:hAnsiTheme="majorBidi"/>
          <w:color w:val="000000" w:themeColor="text1"/>
          <w:sz w:val="28"/>
          <w:szCs w:val="28"/>
        </w:rPr>
      </w:pPr>
      <w:r w:rsidRPr="00253BAA">
        <w:rPr>
          <w:rStyle w:val="Strong"/>
          <w:rFonts w:asciiTheme="majorBidi" w:eastAsia="Times New Roman" w:hAnsiTheme="majorBidi"/>
          <w:color w:val="000000" w:themeColor="text1"/>
          <w:sz w:val="28"/>
          <w:szCs w:val="28"/>
        </w:rPr>
        <w:t>Targeting the p53 Pathway in CAR-T Cell Engineering via Adenine Base Editing: A Safer Strategy for Cancer Immunotherapy</w:t>
      </w:r>
    </w:p>
    <w:p w14:paraId="4F90590E" w14:textId="77777777" w:rsidR="007905C3" w:rsidRPr="00253BAA" w:rsidRDefault="007905C3" w:rsidP="00874678">
      <w:pPr>
        <w:bidi w:val="0"/>
        <w:spacing w:line="360" w:lineRule="auto"/>
        <w:rPr>
          <w:rFonts w:asciiTheme="majorBidi" w:hAnsiTheme="majorBidi" w:cstheme="majorBidi"/>
        </w:rPr>
      </w:pPr>
    </w:p>
    <w:p w14:paraId="18BD5EF6" w14:textId="77777777" w:rsidR="007905C3" w:rsidRPr="00253BAA" w:rsidRDefault="007905C3" w:rsidP="00874678">
      <w:pPr>
        <w:bidi w:val="0"/>
        <w:spacing w:line="360" w:lineRule="auto"/>
        <w:contextualSpacing/>
        <w:rPr>
          <w:rFonts w:asciiTheme="majorBidi" w:hAnsiTheme="majorBidi" w:cstheme="majorBidi"/>
          <w:sz w:val="22"/>
          <w:szCs w:val="22"/>
        </w:rPr>
      </w:pPr>
    </w:p>
    <w:p w14:paraId="2C7F290F" w14:textId="77777777" w:rsidR="007905C3" w:rsidRPr="00253BAA" w:rsidRDefault="000C4E2B" w:rsidP="00874678">
      <w:pPr>
        <w:pStyle w:val="Heading3"/>
        <w:bidi w:val="0"/>
        <w:spacing w:line="360" w:lineRule="auto"/>
        <w:contextualSpacing/>
        <w:jc w:val="both"/>
        <w:rPr>
          <w:rStyle w:val="Strong"/>
          <w:rFonts w:asciiTheme="majorBidi" w:eastAsia="Times New Roman" w:hAnsiTheme="majorBidi"/>
          <w:color w:val="auto"/>
          <w:sz w:val="24"/>
          <w:szCs w:val="24"/>
        </w:rPr>
      </w:pPr>
      <w:r w:rsidRPr="00253BAA">
        <w:rPr>
          <w:rStyle w:val="Strong"/>
          <w:rFonts w:asciiTheme="majorBidi" w:eastAsia="Times New Roman" w:hAnsiTheme="majorBidi"/>
          <w:color w:val="auto"/>
          <w:sz w:val="24"/>
          <w:szCs w:val="24"/>
        </w:rPr>
        <w:t>Abstract</w:t>
      </w:r>
    </w:p>
    <w:p w14:paraId="5D3BF11C" w14:textId="4EC4C365" w:rsidR="00BA4225" w:rsidRPr="00253BAA" w:rsidRDefault="002444E5" w:rsidP="00874678">
      <w:pPr>
        <w:pStyle w:val="Heading3"/>
        <w:bidi w:val="0"/>
        <w:spacing w:line="360" w:lineRule="auto"/>
        <w:contextualSpacing/>
        <w:jc w:val="both"/>
        <w:rPr>
          <w:rFonts w:asciiTheme="majorBidi" w:eastAsia="Times New Roman" w:hAnsiTheme="majorBidi"/>
          <w:b/>
          <w:bCs/>
          <w:color w:val="auto"/>
          <w:sz w:val="24"/>
          <w:szCs w:val="24"/>
        </w:rPr>
      </w:pPr>
      <w:r w:rsidRPr="00253BAA">
        <w:rPr>
          <w:rFonts w:asciiTheme="majorBidi" w:eastAsia="Times New Roman" w:hAnsiTheme="majorBidi"/>
          <w:color w:val="auto"/>
          <w:sz w:val="24"/>
          <w:szCs w:val="24"/>
        </w:rPr>
        <w:t xml:space="preserve">The p53 pathway shapes cellular responses to DNA damage and often limits CAR-T engineering when nuclease-induced double-strand breaks (DSBs) activate stress programs that impair viability, expansion, and persistence. Adenine base editors (ABEs) enable precise A→G conversion without DSBs, reducing p53 activation and downstream genotoxic stress. Emerging data show ABE-edited CAR-T cells maintain higher proliferation, lower genomic instability, and improved functional durability versus Cas9-edited counterparts, with decreased risk of TP53-deficient clonal selection. Mechanistic evidence from transcriptomic and chromatin profiling supports minimal DDR activation under ABE, while preclinical studies indicate superior tumor clearance and scalability for allogeneic manufacturing. This review synthesizes current understanding of p53 modulation by ABE in CAR-T engineering, compares ABE and Cas9 performance, evaluates delivery and safety considerations, and outlines future clinical and regulatory pathways for safer, persistent, and programmable </w:t>
      </w:r>
      <w:r w:rsidR="002503C0" w:rsidRPr="00253BAA">
        <w:rPr>
          <w:rFonts w:asciiTheme="majorBidi" w:hAnsiTheme="majorBidi"/>
          <w:color w:val="auto"/>
          <w:sz w:val="24"/>
          <w:szCs w:val="24"/>
        </w:rPr>
        <w:t xml:space="preserve">immunotherapies. </w:t>
      </w:r>
    </w:p>
    <w:p w14:paraId="51756EEF" w14:textId="7462BEE7" w:rsidR="00055618" w:rsidRPr="00253BAA" w:rsidRDefault="002503C0" w:rsidP="00874678">
      <w:pPr>
        <w:pStyle w:val="NormalWeb"/>
        <w:spacing w:line="360" w:lineRule="auto"/>
        <w:divId w:val="1840193018"/>
        <w:rPr>
          <w:rFonts w:asciiTheme="majorBidi" w:hAnsiTheme="majorBidi" w:cstheme="majorBidi"/>
        </w:rPr>
      </w:pPr>
      <w:r w:rsidRPr="00253BAA">
        <w:rPr>
          <w:rFonts w:asciiTheme="majorBidi" w:hAnsiTheme="majorBidi" w:cstheme="majorBidi"/>
        </w:rPr>
        <w:t>K</w:t>
      </w:r>
      <w:r w:rsidR="00921C01" w:rsidRPr="00253BAA">
        <w:rPr>
          <w:rFonts w:asciiTheme="majorBidi" w:hAnsiTheme="majorBidi" w:cstheme="majorBidi"/>
        </w:rPr>
        <w:t>ey words</w:t>
      </w:r>
      <w:r w:rsidRPr="00253BAA">
        <w:rPr>
          <w:rFonts w:asciiTheme="majorBidi" w:hAnsiTheme="majorBidi" w:cstheme="majorBidi"/>
        </w:rPr>
        <w:t>: Adenine Base Editor (ABE)</w:t>
      </w:r>
      <w:r w:rsidR="0007748E" w:rsidRPr="00253BAA">
        <w:rPr>
          <w:rFonts w:asciiTheme="majorBidi" w:hAnsiTheme="majorBidi" w:cstheme="majorBidi"/>
        </w:rPr>
        <w:t xml:space="preserve">, </w:t>
      </w:r>
      <w:r w:rsidRPr="00253BAA">
        <w:rPr>
          <w:rFonts w:asciiTheme="majorBidi" w:hAnsiTheme="majorBidi" w:cstheme="majorBidi"/>
        </w:rPr>
        <w:t>CAR-</w:t>
      </w:r>
      <w:r w:rsidR="0007748E" w:rsidRPr="00253BAA">
        <w:rPr>
          <w:rFonts w:asciiTheme="majorBidi" w:hAnsiTheme="majorBidi" w:cstheme="majorBidi"/>
        </w:rPr>
        <w:t>T, p</w:t>
      </w:r>
      <w:r w:rsidRPr="00253BAA">
        <w:rPr>
          <w:rFonts w:asciiTheme="majorBidi" w:hAnsiTheme="majorBidi" w:cstheme="majorBidi"/>
        </w:rPr>
        <w:t>53, Immunotherapy, Genomic Stability, Base Editing Safety</w:t>
      </w:r>
      <w:r w:rsidR="0007748E" w:rsidRPr="00253BAA">
        <w:rPr>
          <w:rFonts w:asciiTheme="majorBidi" w:hAnsiTheme="majorBidi" w:cstheme="majorBidi"/>
        </w:rPr>
        <w:t>.</w:t>
      </w:r>
    </w:p>
    <w:p w14:paraId="0B429AC2" w14:textId="1537BB41" w:rsidR="00921C01" w:rsidRPr="00253BAA" w:rsidRDefault="00921C01" w:rsidP="00874678">
      <w:pPr>
        <w:pStyle w:val="NormalWeb"/>
        <w:spacing w:line="360" w:lineRule="auto"/>
        <w:divId w:val="1840193018"/>
        <w:rPr>
          <w:rFonts w:asciiTheme="majorBidi" w:hAnsiTheme="majorBidi" w:cstheme="majorBidi"/>
        </w:rPr>
      </w:pPr>
    </w:p>
    <w:p w14:paraId="161757A0" w14:textId="33F0BBEB" w:rsidR="00921C01" w:rsidRDefault="00921C01" w:rsidP="00874678">
      <w:pPr>
        <w:pStyle w:val="NormalWeb"/>
        <w:spacing w:line="360" w:lineRule="auto"/>
        <w:divId w:val="1840193018"/>
        <w:rPr>
          <w:rFonts w:asciiTheme="majorBidi" w:hAnsiTheme="majorBidi" w:cstheme="majorBidi"/>
        </w:rPr>
      </w:pPr>
    </w:p>
    <w:p w14:paraId="3565F496" w14:textId="2365015D" w:rsidR="00AA3D75" w:rsidRDefault="00AA3D75" w:rsidP="00874678">
      <w:pPr>
        <w:pStyle w:val="NormalWeb"/>
        <w:spacing w:line="360" w:lineRule="auto"/>
        <w:divId w:val="1840193018"/>
        <w:rPr>
          <w:rFonts w:asciiTheme="majorBidi" w:hAnsiTheme="majorBidi" w:cstheme="majorBidi"/>
        </w:rPr>
      </w:pPr>
    </w:p>
    <w:p w14:paraId="74F206ED" w14:textId="77777777" w:rsidR="00AA3D75" w:rsidRPr="00253BAA" w:rsidRDefault="00AA3D75" w:rsidP="00874678">
      <w:pPr>
        <w:pStyle w:val="NormalWeb"/>
        <w:spacing w:line="360" w:lineRule="auto"/>
        <w:divId w:val="1840193018"/>
        <w:rPr>
          <w:rFonts w:asciiTheme="majorBidi" w:hAnsiTheme="majorBidi" w:cstheme="majorBidi"/>
        </w:rPr>
      </w:pPr>
    </w:p>
    <w:p w14:paraId="67343C49" w14:textId="59F9AD23" w:rsidR="00921C01" w:rsidRPr="00253BAA" w:rsidRDefault="00921C01" w:rsidP="00874678">
      <w:pPr>
        <w:pStyle w:val="NormalWeb"/>
        <w:spacing w:line="360" w:lineRule="auto"/>
        <w:divId w:val="1840193018"/>
        <w:rPr>
          <w:rFonts w:asciiTheme="majorBidi" w:hAnsiTheme="majorBidi" w:cstheme="majorBidi"/>
        </w:rPr>
      </w:pPr>
    </w:p>
    <w:p w14:paraId="5A73F1C7" w14:textId="2D0F45DF" w:rsidR="00921C01" w:rsidRPr="00253BAA" w:rsidRDefault="00921C01" w:rsidP="00874678">
      <w:pPr>
        <w:pStyle w:val="NormalWeb"/>
        <w:spacing w:line="360" w:lineRule="auto"/>
        <w:divId w:val="1840193018"/>
        <w:rPr>
          <w:rFonts w:asciiTheme="majorBidi" w:hAnsiTheme="majorBidi" w:cstheme="majorBidi"/>
        </w:rPr>
      </w:pPr>
    </w:p>
    <w:p w14:paraId="54A64DE5" w14:textId="77777777" w:rsidR="00874678" w:rsidRPr="00253BAA" w:rsidRDefault="00874678" w:rsidP="00874678">
      <w:pPr>
        <w:pStyle w:val="NormalWeb"/>
        <w:spacing w:line="360" w:lineRule="auto"/>
        <w:jc w:val="both"/>
        <w:divId w:val="1720203763"/>
        <w:rPr>
          <w:rStyle w:val="Strong"/>
          <w:rFonts w:asciiTheme="majorBidi" w:eastAsia="Times New Roman" w:hAnsiTheme="majorBidi" w:cstheme="majorBidi"/>
          <w:color w:val="000000" w:themeColor="text1"/>
          <w:sz w:val="28"/>
          <w:szCs w:val="28"/>
        </w:rPr>
      </w:pPr>
    </w:p>
    <w:p w14:paraId="42AC190C" w14:textId="7650AEBE" w:rsidR="00874678" w:rsidRPr="00253BAA" w:rsidRDefault="008367B9" w:rsidP="008367B9">
      <w:pPr>
        <w:pStyle w:val="NormalWeb"/>
        <w:spacing w:line="360" w:lineRule="auto"/>
        <w:contextualSpacing/>
        <w:jc w:val="both"/>
        <w:divId w:val="1720203763"/>
        <w:rPr>
          <w:rFonts w:asciiTheme="majorBidi" w:eastAsia="Times New Roman" w:hAnsiTheme="majorBidi" w:cstheme="majorBidi"/>
          <w:b/>
          <w:bCs/>
          <w:color w:val="000000" w:themeColor="text1"/>
          <w:sz w:val="28"/>
          <w:szCs w:val="28"/>
        </w:rPr>
      </w:pPr>
      <w:bookmarkStart w:id="0" w:name="OLE_LINK1"/>
      <w:r>
        <w:rPr>
          <w:rStyle w:val="Strong"/>
          <w:rFonts w:asciiTheme="majorBidi" w:eastAsia="Times New Roman" w:hAnsiTheme="majorBidi" w:cstheme="majorBidi"/>
          <w:color w:val="000000" w:themeColor="text1"/>
          <w:sz w:val="28"/>
          <w:szCs w:val="28"/>
        </w:rPr>
        <w:lastRenderedPageBreak/>
        <w:t>1.</w:t>
      </w:r>
      <w:r w:rsidR="000C4E2B" w:rsidRPr="00253BAA">
        <w:rPr>
          <w:rStyle w:val="Strong"/>
          <w:rFonts w:asciiTheme="majorBidi" w:eastAsia="Times New Roman" w:hAnsiTheme="majorBidi" w:cstheme="majorBidi"/>
          <w:color w:val="000000" w:themeColor="text1"/>
          <w:sz w:val="28"/>
          <w:szCs w:val="28"/>
        </w:rPr>
        <w:t>Introduction</w:t>
      </w:r>
    </w:p>
    <w:p w14:paraId="28E8BA80" w14:textId="14CFB26B" w:rsidR="00222350" w:rsidRPr="00253BAA" w:rsidRDefault="00842F53" w:rsidP="00425052">
      <w:pPr>
        <w:pStyle w:val="NormalWeb"/>
        <w:spacing w:line="360" w:lineRule="auto"/>
        <w:contextualSpacing/>
        <w:jc w:val="both"/>
        <w:divId w:val="1720203763"/>
        <w:rPr>
          <w:rFonts w:asciiTheme="majorBidi" w:eastAsia="Times New Roman" w:hAnsiTheme="majorBidi" w:cstheme="majorBidi"/>
          <w:b/>
          <w:bCs/>
          <w:color w:val="000000" w:themeColor="text1"/>
          <w:sz w:val="28"/>
          <w:szCs w:val="28"/>
          <w:rtl/>
        </w:rPr>
      </w:pPr>
      <w:bookmarkStart w:id="1" w:name="_GoBack"/>
      <w:bookmarkEnd w:id="1"/>
      <w:r w:rsidRPr="00253BAA">
        <w:rPr>
          <w:rFonts w:asciiTheme="majorBidi" w:hAnsiTheme="majorBidi" w:cstheme="majorBidi"/>
        </w:rPr>
        <w:t>The p53 signaling pathway plays a central role in maintaining genomic integrity by orchestrating cellular responses to DNA damage, including cell-cycle arrest, apoptosis, and senescence. In the context of gene editing, particularly for immunotherapeutic applications such as CAR-T cell engineering, activation of p53 following double-strand breaks (DSBs) induced by nucleases like CRISPR–Cas9 has emerged as a major barrier to cell viability, expansion, and long-term persistence. Excessive p53 activation not only reduces the yield of edited T cells but also promotes the selection of TP53-deficient clones, raising oncogenic safety concerns. Adenine Base Editors (ABEs) offer a transformative alternative by enabling precise A→G base conversions without inducing DSBs. This DSB-free editing strategy significantly reduces activation of the DNA damage response (DDR) and downstream p53 signaling, thereby preserving cellular fitness and enhancing the therapeutic potential of engineered CAR-T cells. Recent studies have demonstrated that ABE-edited T cells exhibit superior proliferation, reduced genomic instability, and improved functional persistence in both in vitro and in vivo models. Transcriptomic and chromatin accessibility analyses further confirm that ABE minimizes stress-induced transcriptional reprogramming and avoids enrichment of DNA repair-associated chromatin states. As CAR-T therapies expand toward allogeneic platforms and multiplex gene editing, minimizing p53 activation becomes critical for ensuring product safety and efficacy. This review synthesizes recent advances in ABE technology, its mechanistic advantages over Cas9, and its implications for modulating p53 signaling in CAR-T cell engineering. We also discuss translational challenges, including delivery systems, off-target effects, and regulatory considerations, to provide a comprehensive framework for developing next-generation gene-edited immunotherapies</w:t>
      </w:r>
      <w:r w:rsidR="00D36AE1" w:rsidRPr="00253BAA">
        <w:rPr>
          <w:rFonts w:asciiTheme="majorBidi" w:hAnsiTheme="majorBidi" w:cstheme="majorBidi"/>
        </w:rPr>
        <w:t xml:space="preserve"> [1-10].</w:t>
      </w:r>
      <w:bookmarkEnd w:id="0"/>
    </w:p>
    <w:p w14:paraId="6B0D4364" w14:textId="104CA304" w:rsidR="00222350" w:rsidRDefault="00222350" w:rsidP="008367B9">
      <w:pPr>
        <w:pStyle w:val="NormalWeb"/>
        <w:spacing w:line="360" w:lineRule="auto"/>
        <w:jc w:val="both"/>
        <w:divId w:val="1879315687"/>
        <w:rPr>
          <w:rFonts w:asciiTheme="majorBidi" w:hAnsiTheme="majorBidi" w:cstheme="majorBidi"/>
        </w:rPr>
      </w:pPr>
    </w:p>
    <w:p w14:paraId="7F582BF2" w14:textId="61710C66" w:rsidR="008367B9" w:rsidRPr="008367B9" w:rsidRDefault="008367B9" w:rsidP="00DB7261">
      <w:pPr>
        <w:bidi w:val="0"/>
        <w:spacing w:line="360" w:lineRule="auto"/>
        <w:jc w:val="both"/>
        <w:divId w:val="1879315687"/>
        <w:rPr>
          <w:rFonts w:asciiTheme="majorBidi" w:hAnsiTheme="majorBidi" w:cstheme="majorBidi"/>
          <w:b/>
          <w:bCs/>
          <w:sz w:val="28"/>
          <w:szCs w:val="28"/>
        </w:rPr>
      </w:pPr>
      <w:r w:rsidRPr="008367B9">
        <w:rPr>
          <w:rFonts w:asciiTheme="majorBidi" w:hAnsiTheme="majorBidi" w:cstheme="majorBidi"/>
          <w:b/>
          <w:bCs/>
          <w:sz w:val="28"/>
          <w:szCs w:val="28"/>
        </w:rPr>
        <w:t>2. Materials and Methods</w:t>
      </w:r>
    </w:p>
    <w:p w14:paraId="749AEBBB" w14:textId="77777777" w:rsidR="008367B9" w:rsidRPr="008367B9" w:rsidRDefault="008367B9" w:rsidP="008367B9">
      <w:pPr>
        <w:bidi w:val="0"/>
        <w:spacing w:line="360" w:lineRule="auto"/>
        <w:jc w:val="both"/>
        <w:divId w:val="1879315687"/>
        <w:rPr>
          <w:rFonts w:asciiTheme="majorBidi" w:hAnsiTheme="majorBidi" w:cstheme="majorBidi"/>
          <w:b/>
          <w:bCs/>
        </w:rPr>
      </w:pPr>
      <w:r w:rsidRPr="008367B9">
        <w:rPr>
          <w:rFonts w:asciiTheme="majorBidi" w:hAnsiTheme="majorBidi" w:cstheme="majorBidi"/>
          <w:b/>
          <w:bCs/>
        </w:rPr>
        <w:t xml:space="preserve">2.1. Study Design  </w:t>
      </w:r>
    </w:p>
    <w:p w14:paraId="502756AC" w14:textId="373EBEFC" w:rsidR="008367B9" w:rsidRPr="008367B9" w:rsidRDefault="008367B9" w:rsidP="00DB7A16">
      <w:pPr>
        <w:bidi w:val="0"/>
        <w:spacing w:line="360" w:lineRule="auto"/>
        <w:jc w:val="both"/>
        <w:divId w:val="1879315687"/>
        <w:rPr>
          <w:rFonts w:asciiTheme="majorBidi" w:hAnsiTheme="majorBidi" w:cstheme="majorBidi"/>
        </w:rPr>
      </w:pPr>
      <w:r w:rsidRPr="008367B9">
        <w:rPr>
          <w:rFonts w:asciiTheme="majorBidi" w:hAnsiTheme="majorBidi" w:cstheme="majorBidi"/>
        </w:rPr>
        <w:t>This narrative review was conducted to synthesize mechanistic and translational evidence regarding the modulation of the p53 pathway in CAR-T cell engineering using adenine base editors (ABEs). The review was structured to highlight comparative performance between ABE and Cas9 platforms, with emphasis on DNA damage response, genomic integrity, and therapeutic outcomes. Figures and tables were created using CorelDraw Graphic Suite 2021 (Corel Corp., Ottawa, Canada).</w:t>
      </w:r>
    </w:p>
    <w:p w14:paraId="1034D63C" w14:textId="77777777" w:rsidR="008367B9" w:rsidRPr="008367B9" w:rsidRDefault="008367B9" w:rsidP="008367B9">
      <w:pPr>
        <w:bidi w:val="0"/>
        <w:spacing w:line="360" w:lineRule="auto"/>
        <w:jc w:val="both"/>
        <w:divId w:val="1879315687"/>
        <w:rPr>
          <w:rFonts w:asciiTheme="majorBidi" w:hAnsiTheme="majorBidi" w:cstheme="majorBidi"/>
          <w:b/>
          <w:bCs/>
        </w:rPr>
      </w:pPr>
      <w:r w:rsidRPr="008367B9">
        <w:rPr>
          <w:rFonts w:asciiTheme="majorBidi" w:hAnsiTheme="majorBidi" w:cstheme="majorBidi"/>
          <w:b/>
          <w:bCs/>
        </w:rPr>
        <w:lastRenderedPageBreak/>
        <w:t xml:space="preserve">2.2. Literature Search and Selection  </w:t>
      </w:r>
    </w:p>
    <w:p w14:paraId="10B2B6DA" w14:textId="143E7C91" w:rsidR="008367B9" w:rsidRPr="008367B9" w:rsidRDefault="008367B9" w:rsidP="008367B9">
      <w:pPr>
        <w:bidi w:val="0"/>
        <w:spacing w:line="360" w:lineRule="auto"/>
        <w:jc w:val="both"/>
        <w:divId w:val="1879315687"/>
        <w:rPr>
          <w:rFonts w:asciiTheme="majorBidi" w:hAnsiTheme="majorBidi" w:cstheme="majorBidi"/>
        </w:rPr>
      </w:pPr>
      <w:r w:rsidRPr="008367B9">
        <w:rPr>
          <w:rFonts w:asciiTheme="majorBidi" w:hAnsiTheme="majorBidi" w:cstheme="majorBidi"/>
        </w:rPr>
        <w:t>A comprehensive literature search was performed across PubMed/Medline, Web of Science, Scopus, and Google Scholar. Publisher platforms including Nature Portfolio, Cell Press, Springer Nature, Frontiers, and BMJ were also consulted to validate metadata such as publication date and DOI. The search covered articles published between January 2018 and November 2025, with no language or access restrictions during initial screening. Titles and abstracts were reviewed for relevance, followed by full-text evaluation based on inclusion criteria.</w:t>
      </w:r>
    </w:p>
    <w:p w14:paraId="331D9553" w14:textId="77777777" w:rsidR="008367B9" w:rsidRPr="008367B9" w:rsidRDefault="008367B9" w:rsidP="008367B9">
      <w:pPr>
        <w:bidi w:val="0"/>
        <w:spacing w:line="360" w:lineRule="auto"/>
        <w:jc w:val="both"/>
        <w:divId w:val="1879315687"/>
        <w:rPr>
          <w:rFonts w:asciiTheme="majorBidi" w:hAnsiTheme="majorBidi" w:cstheme="majorBidi"/>
          <w:b/>
          <w:bCs/>
        </w:rPr>
      </w:pPr>
      <w:r w:rsidRPr="008367B9">
        <w:rPr>
          <w:rFonts w:asciiTheme="majorBidi" w:hAnsiTheme="majorBidi" w:cstheme="majorBidi"/>
          <w:b/>
          <w:bCs/>
        </w:rPr>
        <w:t xml:space="preserve">2.3. Search Terms  </w:t>
      </w:r>
    </w:p>
    <w:p w14:paraId="6DFE1DAB" w14:textId="1BBD3D91" w:rsidR="008367B9" w:rsidRPr="008367B9" w:rsidRDefault="008367B9" w:rsidP="008367B9">
      <w:pPr>
        <w:bidi w:val="0"/>
        <w:spacing w:line="360" w:lineRule="auto"/>
        <w:jc w:val="both"/>
        <w:divId w:val="1879315687"/>
        <w:rPr>
          <w:rFonts w:asciiTheme="majorBidi" w:hAnsiTheme="majorBidi" w:cstheme="majorBidi"/>
        </w:rPr>
      </w:pPr>
      <w:r w:rsidRPr="008367B9">
        <w:rPr>
          <w:rFonts w:asciiTheme="majorBidi" w:hAnsiTheme="majorBidi" w:cstheme="majorBidi"/>
        </w:rPr>
        <w:t>Boolean combinations of keywords were used to capture relevant studies across technology, therapeutic context, and molecular mechanisms. The following search terms were applied: ("Adenine Base Editor" OR "ABE" OR "Base editing") AND ("CAR-T" OR "CAR T cell") AND ("p53" OR "TP53" OR "DNA damage response" OR "DDR") AND ("Genomic Stability" OR "Chromosomal translocation" OR "Off-target") AND ("Allogeneic" OR "Multiplex editing" OR "TRAC" OR "B2M" OR "CIITA" OR "PVR") AND ("Virus-like particles" OR "VLP" OR "AAV" OR "LNP" OR "RNP delivery")</w:t>
      </w:r>
    </w:p>
    <w:p w14:paraId="48C51385" w14:textId="77777777" w:rsidR="008367B9" w:rsidRPr="008367B9" w:rsidRDefault="008367B9" w:rsidP="008367B9">
      <w:pPr>
        <w:bidi w:val="0"/>
        <w:spacing w:line="360" w:lineRule="auto"/>
        <w:jc w:val="both"/>
        <w:divId w:val="1879315687"/>
        <w:rPr>
          <w:rFonts w:asciiTheme="majorBidi" w:hAnsiTheme="majorBidi" w:cstheme="majorBidi"/>
          <w:b/>
          <w:bCs/>
        </w:rPr>
      </w:pPr>
      <w:r w:rsidRPr="008367B9">
        <w:rPr>
          <w:rFonts w:asciiTheme="majorBidi" w:hAnsiTheme="majorBidi" w:cstheme="majorBidi"/>
          <w:b/>
          <w:bCs/>
        </w:rPr>
        <w:t xml:space="preserve">2.4. Eligibility Criteria  </w:t>
      </w:r>
    </w:p>
    <w:p w14:paraId="2206E7DC" w14:textId="59B5D8ED" w:rsidR="008367B9" w:rsidRPr="008367B9" w:rsidRDefault="008367B9" w:rsidP="008367B9">
      <w:pPr>
        <w:bidi w:val="0"/>
        <w:spacing w:line="360" w:lineRule="auto"/>
        <w:jc w:val="both"/>
        <w:divId w:val="1879315687"/>
        <w:rPr>
          <w:rFonts w:asciiTheme="majorBidi" w:hAnsiTheme="majorBidi" w:cstheme="majorBidi"/>
        </w:rPr>
      </w:pPr>
      <w:r w:rsidRPr="008367B9">
        <w:rPr>
          <w:rFonts w:asciiTheme="majorBidi" w:hAnsiTheme="majorBidi" w:cstheme="majorBidi"/>
        </w:rPr>
        <w:t>Studies were included if they were published in English, provided mechanistic or functional data comparing ABE and Cas9 in CAR-T cells, reported on DNA damage response activation, p53 signaling, genomic stability, or in vivo/in vitro performance, and focused on multiplex editing, delivery platforms, or clonal safety. Studies were excluded if they lacked experimental data, were non-peer-reviewed, or did not address the p53 pathway in the context of CAR-T engineering.</w:t>
      </w:r>
    </w:p>
    <w:p w14:paraId="7DF9B736" w14:textId="77777777" w:rsidR="008367B9" w:rsidRPr="008367B9" w:rsidRDefault="008367B9" w:rsidP="008367B9">
      <w:pPr>
        <w:bidi w:val="0"/>
        <w:spacing w:line="360" w:lineRule="auto"/>
        <w:jc w:val="both"/>
        <w:divId w:val="1879315687"/>
        <w:rPr>
          <w:rFonts w:asciiTheme="majorBidi" w:hAnsiTheme="majorBidi" w:cstheme="majorBidi"/>
          <w:b/>
          <w:bCs/>
        </w:rPr>
      </w:pPr>
      <w:r w:rsidRPr="008367B9">
        <w:rPr>
          <w:rFonts w:asciiTheme="majorBidi" w:hAnsiTheme="majorBidi" w:cstheme="majorBidi"/>
          <w:b/>
          <w:bCs/>
        </w:rPr>
        <w:t xml:space="preserve">2.5. Metadata Validation  </w:t>
      </w:r>
    </w:p>
    <w:p w14:paraId="67168AD2" w14:textId="346FFC59" w:rsidR="008367B9" w:rsidRPr="008367B9" w:rsidRDefault="008367B9" w:rsidP="008367B9">
      <w:pPr>
        <w:bidi w:val="0"/>
        <w:spacing w:line="360" w:lineRule="auto"/>
        <w:jc w:val="both"/>
        <w:divId w:val="1879315687"/>
        <w:rPr>
          <w:rFonts w:asciiTheme="majorBidi" w:hAnsiTheme="majorBidi" w:cstheme="majorBidi"/>
        </w:rPr>
      </w:pPr>
      <w:r w:rsidRPr="008367B9">
        <w:rPr>
          <w:rFonts w:asciiTheme="majorBidi" w:hAnsiTheme="majorBidi" w:cstheme="majorBidi"/>
        </w:rPr>
        <w:t>For each selected reference, metadata including journal name, database or platform, DOI, and month and year of publication were verified using publisher websites and PubMed entries. A total of 64 references were included, spanning original research articles, highly relevant reviews, and preclinical studies.</w:t>
      </w:r>
    </w:p>
    <w:p w14:paraId="4730AC10" w14:textId="77777777" w:rsidR="008367B9" w:rsidRPr="008367B9" w:rsidRDefault="008367B9" w:rsidP="008367B9">
      <w:pPr>
        <w:bidi w:val="0"/>
        <w:jc w:val="both"/>
        <w:divId w:val="1879315687"/>
      </w:pPr>
    </w:p>
    <w:p w14:paraId="0F950FD5" w14:textId="47918B87" w:rsidR="00084311" w:rsidRPr="00253BAA" w:rsidRDefault="008367B9" w:rsidP="00551BB9">
      <w:pPr>
        <w:pStyle w:val="Heading3"/>
        <w:bidi w:val="0"/>
        <w:spacing w:line="360" w:lineRule="auto"/>
        <w:divId w:val="1179738880"/>
        <w:rPr>
          <w:rFonts w:asciiTheme="majorBidi" w:eastAsia="Times New Roman" w:hAnsiTheme="majorBidi"/>
          <w:kern w:val="0"/>
          <w:sz w:val="27"/>
          <w:szCs w:val="27"/>
          <w14:ligatures w14:val="none"/>
        </w:rPr>
      </w:pPr>
      <w:r>
        <w:rPr>
          <w:rStyle w:val="Strong"/>
          <w:rFonts w:asciiTheme="majorBidi" w:eastAsia="Times New Roman" w:hAnsiTheme="majorBidi"/>
          <w:color w:val="000000" w:themeColor="text1"/>
        </w:rPr>
        <w:lastRenderedPageBreak/>
        <w:t>3</w:t>
      </w:r>
      <w:r w:rsidR="00117487" w:rsidRPr="00253BAA">
        <w:rPr>
          <w:rStyle w:val="Strong"/>
          <w:rFonts w:asciiTheme="majorBidi" w:eastAsia="Times New Roman" w:hAnsiTheme="majorBidi"/>
          <w:color w:val="000000" w:themeColor="text1"/>
          <w:rtl/>
        </w:rPr>
        <w:t>.</w:t>
      </w:r>
      <w:r w:rsidR="00084311" w:rsidRPr="00253BAA">
        <w:rPr>
          <w:rStyle w:val="Strong"/>
          <w:rFonts w:asciiTheme="majorBidi" w:eastAsia="Times New Roman" w:hAnsiTheme="majorBidi"/>
          <w:b w:val="0"/>
          <w:bCs w:val="0"/>
          <w:color w:val="000000" w:themeColor="text1"/>
        </w:rPr>
        <w:t xml:space="preserve"> </w:t>
      </w:r>
      <w:r w:rsidR="00084311" w:rsidRPr="00253BAA">
        <w:rPr>
          <w:rStyle w:val="Strong"/>
          <w:rFonts w:asciiTheme="majorBidi" w:eastAsia="Times New Roman" w:hAnsiTheme="majorBidi"/>
          <w:color w:val="000000" w:themeColor="text1"/>
        </w:rPr>
        <w:t>The p</w:t>
      </w:r>
      <w:r w:rsidR="00551BB9" w:rsidRPr="00253BAA">
        <w:rPr>
          <w:rStyle w:val="Strong"/>
          <w:rFonts w:asciiTheme="majorBidi" w:eastAsia="Times New Roman" w:hAnsiTheme="majorBidi"/>
          <w:color w:val="000000" w:themeColor="text1"/>
        </w:rPr>
        <w:t>53</w:t>
      </w:r>
      <w:r w:rsidR="00084311" w:rsidRPr="00253BAA">
        <w:rPr>
          <w:rStyle w:val="Strong"/>
          <w:rFonts w:asciiTheme="majorBidi" w:eastAsia="Times New Roman" w:hAnsiTheme="majorBidi"/>
          <w:color w:val="000000" w:themeColor="text1"/>
        </w:rPr>
        <w:t xml:space="preserve"> Pathway in Gene Editing: Mechanisms and Challenges</w:t>
      </w:r>
    </w:p>
    <w:p w14:paraId="19DD937F" w14:textId="3A3269B6" w:rsidR="00687865" w:rsidRPr="00253BAA" w:rsidRDefault="008367B9" w:rsidP="00874678">
      <w:pPr>
        <w:pStyle w:val="NormalWeb"/>
        <w:spacing w:line="360" w:lineRule="auto"/>
        <w:contextualSpacing/>
        <w:divId w:val="1179738880"/>
        <w:rPr>
          <w:rFonts w:asciiTheme="majorBidi" w:hAnsiTheme="majorBidi" w:cstheme="majorBidi"/>
        </w:rPr>
      </w:pPr>
      <w:r>
        <w:rPr>
          <w:rStyle w:val="Strong"/>
          <w:rFonts w:asciiTheme="majorBidi" w:hAnsiTheme="majorBidi" w:cstheme="majorBidi"/>
        </w:rPr>
        <w:t>3</w:t>
      </w:r>
      <w:r w:rsidR="00687865" w:rsidRPr="00253BAA">
        <w:rPr>
          <w:rStyle w:val="Strong"/>
          <w:rFonts w:asciiTheme="majorBidi" w:hAnsiTheme="majorBidi" w:cstheme="majorBidi"/>
        </w:rPr>
        <w:t>.1</w:t>
      </w:r>
      <w:r w:rsidR="00425052" w:rsidRPr="00253BAA">
        <w:rPr>
          <w:rStyle w:val="Strong"/>
          <w:rFonts w:asciiTheme="majorBidi" w:hAnsiTheme="majorBidi" w:cstheme="majorBidi"/>
        </w:rPr>
        <w:t xml:space="preserve">. </w:t>
      </w:r>
      <w:r w:rsidR="00084311" w:rsidRPr="00253BAA">
        <w:rPr>
          <w:rStyle w:val="Strong"/>
          <w:rFonts w:asciiTheme="majorBidi" w:hAnsiTheme="majorBidi" w:cstheme="majorBidi"/>
        </w:rPr>
        <w:t>Molecular Activation of p53 Following Cas9-Induced DSBs</w:t>
      </w:r>
    </w:p>
    <w:p w14:paraId="648D0B2F" w14:textId="451D4BD8" w:rsidR="00084311" w:rsidRPr="00253BAA" w:rsidRDefault="00084311" w:rsidP="00C57013">
      <w:pPr>
        <w:pStyle w:val="NormalWeb"/>
        <w:spacing w:line="360" w:lineRule="auto"/>
        <w:contextualSpacing/>
        <w:jc w:val="both"/>
        <w:divId w:val="1179738880"/>
        <w:rPr>
          <w:rFonts w:asciiTheme="majorBidi" w:hAnsiTheme="majorBidi" w:cstheme="majorBidi"/>
        </w:rPr>
      </w:pPr>
      <w:r w:rsidRPr="00253BAA">
        <w:rPr>
          <w:rFonts w:asciiTheme="majorBidi" w:hAnsiTheme="majorBidi" w:cstheme="majorBidi"/>
        </w:rPr>
        <w:t>CRISPR–Cas9 editing induces double-strand DNA breaks (DSBs), which are rapidly sensed by the MRN complex (MRE11–RAD50–NBS1) and transduced via ATM and ATR kinases. These kinases phosphorylate p53 at key serine residues (e.g., Ser15, Ser20), stabilizing the protein and promoting its nuclear accumulation. Activated p53 binds to DNA and initiates transcription of target genes such as CDKN1A (p21), GADD45, BAX, and PUMA, leading to cell-cycle arrest, DNA repair, or apoptosis. In CAR-T cells, this cascade disrupts expansion and editing efficiency, particularly during multiplex editing protocols. Moreover, sustained p53 signaling alters enhancer landscapes and chromatin accessibility, interfering with CAR transgene expression and increasing the risk of clonal selection for TP53-deficient variants</w:t>
      </w:r>
      <w:r w:rsidR="00410FC3" w:rsidRPr="00253BAA">
        <w:rPr>
          <w:rFonts w:asciiTheme="majorBidi" w:eastAsia="MS Mincho" w:hAnsiTheme="majorBidi" w:cstheme="majorBidi"/>
        </w:rPr>
        <w:t xml:space="preserve"> [11,12]</w:t>
      </w:r>
      <w:r w:rsidRPr="00253BAA">
        <w:rPr>
          <w:rFonts w:asciiTheme="majorBidi" w:hAnsiTheme="majorBidi" w:cstheme="majorBidi"/>
        </w:rPr>
        <w:t>.</w:t>
      </w:r>
      <w:r w:rsidR="00C57013" w:rsidRPr="00253BAA">
        <w:rPr>
          <w:rFonts w:asciiTheme="majorBidi" w:hAnsiTheme="majorBidi" w:cstheme="majorBidi"/>
        </w:rPr>
        <w:t xml:space="preserve"> As illustrated in Figure 1, Cas9-induced double-strand breaks activate ATM/ATR kinases and stabilize p53, leading to cell-cycle arrest</w:t>
      </w:r>
      <w:r w:rsidR="00253BAA" w:rsidRPr="00253BAA">
        <w:rPr>
          <w:rFonts w:asciiTheme="majorBidi" w:hAnsiTheme="majorBidi" w:cstheme="majorBidi"/>
        </w:rPr>
        <w:t xml:space="preserve"> and apoptosis in CAR-T cells.</w:t>
      </w:r>
    </w:p>
    <w:p w14:paraId="636F28F7" w14:textId="77777777" w:rsidR="00425052" w:rsidRPr="00253BAA" w:rsidRDefault="00425052" w:rsidP="00425052">
      <w:pPr>
        <w:pStyle w:val="NormalWeb"/>
        <w:spacing w:line="360" w:lineRule="auto"/>
        <w:contextualSpacing/>
        <w:jc w:val="both"/>
        <w:divId w:val="1179738880"/>
        <w:rPr>
          <w:rFonts w:asciiTheme="majorBidi" w:hAnsiTheme="majorBidi" w:cstheme="majorBidi"/>
        </w:rPr>
      </w:pPr>
    </w:p>
    <w:p w14:paraId="19386563" w14:textId="2E44537F" w:rsidR="00425052" w:rsidRPr="00253BAA" w:rsidRDefault="008367B9" w:rsidP="00425052">
      <w:pPr>
        <w:pStyle w:val="NormalWeb"/>
        <w:spacing w:line="360" w:lineRule="auto"/>
        <w:contextualSpacing/>
        <w:jc w:val="both"/>
        <w:divId w:val="1179738880"/>
        <w:rPr>
          <w:rFonts w:asciiTheme="majorBidi" w:hAnsiTheme="majorBidi" w:cstheme="majorBidi"/>
        </w:rPr>
      </w:pPr>
      <w:r>
        <w:rPr>
          <w:rStyle w:val="Strong"/>
          <w:rFonts w:asciiTheme="majorBidi" w:hAnsiTheme="majorBidi" w:cstheme="majorBidi"/>
        </w:rPr>
        <w:t>3</w:t>
      </w:r>
      <w:r w:rsidR="00410FC3" w:rsidRPr="00253BAA">
        <w:rPr>
          <w:rStyle w:val="Strong"/>
          <w:rFonts w:asciiTheme="majorBidi" w:hAnsiTheme="majorBidi" w:cstheme="majorBidi"/>
        </w:rPr>
        <w:t>.2</w:t>
      </w:r>
      <w:r w:rsidR="00425052" w:rsidRPr="00253BAA">
        <w:rPr>
          <w:rStyle w:val="Strong"/>
          <w:rFonts w:asciiTheme="majorBidi" w:hAnsiTheme="majorBidi" w:cstheme="majorBidi"/>
        </w:rPr>
        <w:t>.</w:t>
      </w:r>
      <w:r w:rsidR="00410FC3" w:rsidRPr="00253BAA">
        <w:rPr>
          <w:rStyle w:val="Strong"/>
          <w:rFonts w:asciiTheme="majorBidi" w:hAnsiTheme="majorBidi" w:cstheme="majorBidi"/>
        </w:rPr>
        <w:t xml:space="preserve"> </w:t>
      </w:r>
      <w:r w:rsidR="00084311" w:rsidRPr="00253BAA">
        <w:rPr>
          <w:rStyle w:val="Strong"/>
          <w:rFonts w:asciiTheme="majorBidi" w:hAnsiTheme="majorBidi" w:cstheme="majorBidi"/>
        </w:rPr>
        <w:t>Functional and Epigenetic Consequences in CAR-T Cell Engineering</w:t>
      </w:r>
    </w:p>
    <w:p w14:paraId="11F2FBBE" w14:textId="603248CF" w:rsidR="00084311" w:rsidRPr="00253BAA" w:rsidRDefault="00084311" w:rsidP="00425052">
      <w:pPr>
        <w:pStyle w:val="NormalWeb"/>
        <w:spacing w:line="360" w:lineRule="auto"/>
        <w:contextualSpacing/>
        <w:jc w:val="both"/>
        <w:divId w:val="1179738880"/>
        <w:rPr>
          <w:rFonts w:asciiTheme="majorBidi" w:eastAsia="MS Mincho" w:hAnsiTheme="majorBidi" w:cstheme="majorBidi"/>
        </w:rPr>
      </w:pPr>
      <w:r w:rsidRPr="00253BAA">
        <w:rPr>
          <w:rFonts w:asciiTheme="majorBidi" w:hAnsiTheme="majorBidi" w:cstheme="majorBidi"/>
        </w:rPr>
        <w:t>Cas9-edited CAR-T cells exhibit transcriptional enrichment of DNA damage response (DDR) genes, including DDIT3, ATM, and TP53INP1, as shown by bulk and single-cell RNA-seq. ATAC-seq profiling reveals increased accessibility at loci associated with DNA repair and stress response, such as BRCA1 and RAD51 enhancers. These epigenetic changes correlate with reduced CAR expression, impaired cytokine production (e.g., IL-2, IFN-γ), and diminished persistence under chronic antigen stimulation. Functionally, edited cells show lower expansion rates and increased apoptosis, particularly in TP53 wild-type backgrounds. This stress-induced phenotype compromises therapeutic efficacy and raises concerns about long-term genomic stability and tumorigenic potential</w:t>
      </w:r>
      <w:r w:rsidR="00410FC3" w:rsidRPr="00253BAA">
        <w:rPr>
          <w:rFonts w:asciiTheme="majorBidi" w:eastAsia="MS Mincho" w:hAnsiTheme="majorBidi" w:cstheme="majorBidi"/>
        </w:rPr>
        <w:t xml:space="preserve"> [</w:t>
      </w:r>
      <w:r w:rsidRPr="00253BAA">
        <w:rPr>
          <w:rFonts w:asciiTheme="majorBidi" w:hAnsiTheme="majorBidi" w:cstheme="majorBidi"/>
        </w:rPr>
        <w:t>13,14,15</w:t>
      </w:r>
      <w:r w:rsidR="00410FC3" w:rsidRPr="00253BAA">
        <w:rPr>
          <w:rFonts w:asciiTheme="majorBidi" w:eastAsia="MS Mincho" w:hAnsiTheme="majorBidi" w:cstheme="majorBidi"/>
        </w:rPr>
        <w:t>].</w:t>
      </w:r>
    </w:p>
    <w:p w14:paraId="04201FC5" w14:textId="77777777" w:rsidR="00425052" w:rsidRPr="00253BAA" w:rsidRDefault="00425052" w:rsidP="00425052">
      <w:pPr>
        <w:pStyle w:val="NormalWeb"/>
        <w:spacing w:line="360" w:lineRule="auto"/>
        <w:contextualSpacing/>
        <w:jc w:val="both"/>
        <w:divId w:val="1179738880"/>
        <w:rPr>
          <w:rFonts w:asciiTheme="majorBidi" w:hAnsiTheme="majorBidi" w:cstheme="majorBidi"/>
        </w:rPr>
      </w:pPr>
    </w:p>
    <w:p w14:paraId="09ABE99B" w14:textId="5F6D3AC8" w:rsidR="00410FC3" w:rsidRPr="00253BAA" w:rsidRDefault="008367B9" w:rsidP="00425052">
      <w:pPr>
        <w:pStyle w:val="NormalWeb"/>
        <w:spacing w:line="360" w:lineRule="auto"/>
        <w:contextualSpacing/>
        <w:jc w:val="both"/>
        <w:divId w:val="1179738880"/>
        <w:rPr>
          <w:rFonts w:asciiTheme="majorBidi" w:hAnsiTheme="majorBidi" w:cstheme="majorBidi"/>
        </w:rPr>
      </w:pPr>
      <w:r>
        <w:rPr>
          <w:rStyle w:val="Strong"/>
          <w:rFonts w:asciiTheme="majorBidi" w:hAnsiTheme="majorBidi" w:cstheme="majorBidi"/>
        </w:rPr>
        <w:t>3</w:t>
      </w:r>
      <w:r w:rsidR="00410FC3" w:rsidRPr="00253BAA">
        <w:rPr>
          <w:rStyle w:val="Strong"/>
          <w:rFonts w:asciiTheme="majorBidi" w:hAnsiTheme="majorBidi" w:cstheme="majorBidi"/>
        </w:rPr>
        <w:t>.3</w:t>
      </w:r>
      <w:r w:rsidR="00425052" w:rsidRPr="00253BAA">
        <w:rPr>
          <w:rStyle w:val="Strong"/>
          <w:rFonts w:asciiTheme="majorBidi" w:hAnsiTheme="majorBidi" w:cstheme="majorBidi"/>
        </w:rPr>
        <w:t>.</w:t>
      </w:r>
      <w:r w:rsidR="00084311" w:rsidRPr="00253BAA">
        <w:rPr>
          <w:rStyle w:val="Strong"/>
          <w:rFonts w:asciiTheme="majorBidi" w:hAnsiTheme="majorBidi" w:cstheme="majorBidi"/>
        </w:rPr>
        <w:t xml:space="preserve"> Translational Implications and the Need for DSB-Free Editing</w:t>
      </w:r>
    </w:p>
    <w:p w14:paraId="097239C5" w14:textId="585D2D9E" w:rsidR="00117487" w:rsidRPr="00253BAA" w:rsidRDefault="00084311" w:rsidP="00425052">
      <w:pPr>
        <w:pStyle w:val="NormalWeb"/>
        <w:spacing w:line="360" w:lineRule="auto"/>
        <w:jc w:val="both"/>
        <w:divId w:val="1179738880"/>
        <w:rPr>
          <w:rStyle w:val="Strong"/>
          <w:rFonts w:asciiTheme="majorBidi" w:hAnsiTheme="majorBidi" w:cstheme="majorBidi"/>
          <w:b w:val="0"/>
          <w:bCs w:val="0"/>
        </w:rPr>
      </w:pPr>
      <w:r w:rsidRPr="00253BAA">
        <w:rPr>
          <w:rFonts w:asciiTheme="majorBidi" w:hAnsiTheme="majorBidi" w:cstheme="majorBidi"/>
        </w:rPr>
        <w:t xml:space="preserve">To overcome p53-mediated limitations, DSB-free platforms such as Adenine Base Editors (ABEs) have emerged as superior alternatives. ABEs catalyze A→G transitions via deamination of adenine to inosine, avoiding DSBs and thus bypassing ATM/ATR–p53 signaling. In CAR-T cells, ABE editing results in minimal transcriptional activation of DDR genes and preserves chromatin integrity, as confirmed by ATAC-seq and whole-genome sequencing. ABE-edited cells demonstrate enhanced expansion, higher CAR expression, and improved tumor control in xenograft models. Importantly, the absence of DSBs reduces the </w:t>
      </w:r>
      <w:r w:rsidRPr="00253BAA">
        <w:rPr>
          <w:rFonts w:asciiTheme="majorBidi" w:hAnsiTheme="majorBidi" w:cstheme="majorBidi"/>
        </w:rPr>
        <w:lastRenderedPageBreak/>
        <w:t xml:space="preserve">risk of chromosomal translocations and TP53-deficient clonal outgrowth. These findings support the integration of ABE into clinical-grade CAR-T manufacturing workflows to enhance safety, scalability, and therapeutic </w:t>
      </w:r>
      <w:r w:rsidR="00264A76" w:rsidRPr="00253BAA">
        <w:rPr>
          <w:rFonts w:asciiTheme="majorBidi" w:hAnsiTheme="majorBidi" w:cstheme="majorBidi"/>
        </w:rPr>
        <w:t>durability [16-20].</w:t>
      </w:r>
    </w:p>
    <w:p w14:paraId="36345EF8" w14:textId="465E3822" w:rsidR="002F3859" w:rsidRPr="00253BAA" w:rsidRDefault="00255E4F" w:rsidP="00874678">
      <w:pPr>
        <w:pStyle w:val="NormalWeb"/>
        <w:spacing w:line="360" w:lineRule="auto"/>
        <w:divId w:val="1179738880"/>
        <w:rPr>
          <w:rStyle w:val="Strong"/>
          <w:rFonts w:asciiTheme="majorBidi" w:hAnsiTheme="majorBidi" w:cstheme="majorBidi"/>
          <w:b w:val="0"/>
          <w:bCs w:val="0"/>
        </w:rPr>
      </w:pPr>
      <w:r w:rsidRPr="00253BAA">
        <w:rPr>
          <w:rFonts w:asciiTheme="majorBidi" w:hAnsiTheme="majorBidi" w:cstheme="majorBidi"/>
          <w:noProof/>
          <w:rtl/>
          <w:lang w:bidi="ar-SA"/>
          <w14:ligatures w14:val="standardContextual"/>
        </w:rPr>
        <w:drawing>
          <wp:anchor distT="0" distB="0" distL="114300" distR="114300" simplePos="0" relativeHeight="251660288" behindDoc="0" locked="0" layoutInCell="1" allowOverlap="1" wp14:anchorId="279C54D5" wp14:editId="788C3EA4">
            <wp:simplePos x="0" y="0"/>
            <wp:positionH relativeFrom="column">
              <wp:posOffset>509270</wp:posOffset>
            </wp:positionH>
            <wp:positionV relativeFrom="paragraph">
              <wp:posOffset>0</wp:posOffset>
            </wp:positionV>
            <wp:extent cx="4599305" cy="4436745"/>
            <wp:effectExtent l="0" t="0" r="0" b="1905"/>
            <wp:wrapTopAndBottom/>
            <wp:docPr id="4" name="تصوی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تصویر 4"/>
                    <pic:cNvPicPr/>
                  </pic:nvPicPr>
                  <pic:blipFill>
                    <a:blip r:embed="rId7">
                      <a:extLst>
                        <a:ext uri="{28A0092B-C50C-407E-A947-70E740481C1C}">
                          <a14:useLocalDpi xmlns:a14="http://schemas.microsoft.com/office/drawing/2010/main" val="0"/>
                        </a:ext>
                      </a:extLst>
                    </a:blip>
                    <a:stretch>
                      <a:fillRect/>
                    </a:stretch>
                  </pic:blipFill>
                  <pic:spPr>
                    <a:xfrm>
                      <a:off x="0" y="0"/>
                      <a:ext cx="4599305" cy="4436745"/>
                    </a:xfrm>
                    <a:prstGeom prst="rect">
                      <a:avLst/>
                    </a:prstGeom>
                  </pic:spPr>
                </pic:pic>
              </a:graphicData>
            </a:graphic>
            <wp14:sizeRelH relativeFrom="margin">
              <wp14:pctWidth>0</wp14:pctWidth>
            </wp14:sizeRelH>
            <wp14:sizeRelV relativeFrom="margin">
              <wp14:pctHeight>0</wp14:pctHeight>
            </wp14:sizeRelV>
          </wp:anchor>
        </w:drawing>
      </w:r>
    </w:p>
    <w:p w14:paraId="1C691A59" w14:textId="77DEF9EE" w:rsidR="00326A7D" w:rsidRPr="00253BAA" w:rsidRDefault="002321F0" w:rsidP="00425052">
      <w:pPr>
        <w:pStyle w:val="NormalWeb"/>
        <w:spacing w:line="360" w:lineRule="auto"/>
        <w:jc w:val="both"/>
        <w:divId w:val="1179738880"/>
        <w:rPr>
          <w:rStyle w:val="Strong"/>
          <w:rFonts w:asciiTheme="majorBidi" w:eastAsia="Times New Roman" w:hAnsiTheme="majorBidi" w:cstheme="majorBidi"/>
          <w:b w:val="0"/>
          <w:bCs w:val="0"/>
          <w:sz w:val="20"/>
          <w:szCs w:val="20"/>
          <w:rtl/>
        </w:rPr>
      </w:pPr>
      <w:r w:rsidRPr="00253BAA">
        <w:rPr>
          <w:rStyle w:val="Strong"/>
          <w:rFonts w:asciiTheme="majorBidi" w:eastAsia="Times New Roman" w:hAnsiTheme="majorBidi" w:cstheme="majorBidi"/>
          <w:sz w:val="20"/>
          <w:szCs w:val="20"/>
        </w:rPr>
        <w:t>Figure 1. Mechanism of p53 activation following Cas9-mediated DNA damage in CAR-T cells.</w:t>
      </w:r>
      <w:r w:rsidRPr="00253BAA">
        <w:rPr>
          <w:rFonts w:asciiTheme="majorBidi" w:eastAsia="Times New Roman" w:hAnsiTheme="majorBidi" w:cstheme="majorBidi"/>
          <w:sz w:val="20"/>
          <w:szCs w:val="20"/>
        </w:rPr>
        <w:t xml:space="preserve"> CRISPR–Cas9 introduces double-strand breaks (DSBs), triggering DNA damage sensors such as ATM and ATR. These kinases phosphorylate and stabilize p53, which activates transcription of genes like CDKN1A (p21), GADD45, BAX, and PUMA. The resulting cell-cycle arrest and apoptosis impair CAR-T cell expansion and function, while persistent p53 signaling may promote clonal selection of TP53-deficient cells and reduce therapeutic efficacy.</w:t>
      </w:r>
    </w:p>
    <w:p w14:paraId="0E6E7282" w14:textId="77777777" w:rsidR="00222350" w:rsidRPr="00253BAA" w:rsidRDefault="00222350" w:rsidP="00874678">
      <w:pPr>
        <w:pStyle w:val="NormalWeb"/>
        <w:spacing w:line="360" w:lineRule="auto"/>
        <w:divId w:val="1179738880"/>
        <w:rPr>
          <w:rStyle w:val="Strong"/>
          <w:rFonts w:asciiTheme="majorBidi" w:eastAsia="Times New Roman" w:hAnsiTheme="majorBidi" w:cstheme="majorBidi"/>
          <w:b w:val="0"/>
          <w:bCs w:val="0"/>
        </w:rPr>
      </w:pPr>
    </w:p>
    <w:p w14:paraId="0BFA5FC7" w14:textId="2C18462E" w:rsidR="00152012" w:rsidRPr="00253BAA" w:rsidRDefault="008367B9" w:rsidP="00874678">
      <w:pPr>
        <w:pStyle w:val="Heading3"/>
        <w:bidi w:val="0"/>
        <w:spacing w:line="360" w:lineRule="auto"/>
        <w:divId w:val="1833257638"/>
        <w:rPr>
          <w:rFonts w:asciiTheme="majorBidi" w:eastAsia="Times New Roman" w:hAnsiTheme="majorBidi"/>
          <w:color w:val="000000" w:themeColor="text1"/>
          <w:kern w:val="0"/>
          <w:sz w:val="27"/>
          <w:szCs w:val="27"/>
          <w14:ligatures w14:val="none"/>
        </w:rPr>
      </w:pPr>
      <w:r>
        <w:rPr>
          <w:rStyle w:val="Strong"/>
          <w:rFonts w:asciiTheme="majorBidi" w:eastAsia="Times New Roman" w:hAnsiTheme="majorBidi"/>
          <w:color w:val="000000" w:themeColor="text1"/>
        </w:rPr>
        <w:t>4</w:t>
      </w:r>
      <w:r w:rsidR="00152012" w:rsidRPr="00253BAA">
        <w:rPr>
          <w:rStyle w:val="Strong"/>
          <w:rFonts w:asciiTheme="majorBidi" w:eastAsia="Times New Roman" w:hAnsiTheme="majorBidi"/>
          <w:color w:val="000000" w:themeColor="text1"/>
        </w:rPr>
        <w:t>. Adenine Base Editing as a DSB-Free Strategy</w:t>
      </w:r>
    </w:p>
    <w:p w14:paraId="1F38FB49" w14:textId="223F45EB" w:rsidR="00152012" w:rsidRPr="00253BAA" w:rsidRDefault="008367B9" w:rsidP="00A61596">
      <w:pPr>
        <w:pStyle w:val="NormalWeb"/>
        <w:spacing w:line="360" w:lineRule="auto"/>
        <w:jc w:val="both"/>
        <w:divId w:val="1833257638"/>
        <w:rPr>
          <w:rFonts w:asciiTheme="majorBidi" w:hAnsiTheme="majorBidi" w:cstheme="majorBidi"/>
        </w:rPr>
      </w:pPr>
      <w:r>
        <w:rPr>
          <w:rStyle w:val="Strong"/>
          <w:rFonts w:asciiTheme="majorBidi" w:hAnsiTheme="majorBidi" w:cstheme="majorBidi"/>
        </w:rPr>
        <w:t>4</w:t>
      </w:r>
      <w:r w:rsidR="00775490" w:rsidRPr="00253BAA">
        <w:rPr>
          <w:rStyle w:val="Strong"/>
          <w:rFonts w:asciiTheme="majorBidi" w:hAnsiTheme="majorBidi" w:cstheme="majorBidi"/>
        </w:rPr>
        <w:t>.1</w:t>
      </w:r>
      <w:r w:rsidR="00425052" w:rsidRPr="00253BAA">
        <w:rPr>
          <w:rStyle w:val="Strong"/>
          <w:rFonts w:asciiTheme="majorBidi" w:hAnsiTheme="majorBidi" w:cstheme="majorBidi"/>
        </w:rPr>
        <w:t>.</w:t>
      </w:r>
      <w:r w:rsidR="00152012" w:rsidRPr="00253BAA">
        <w:rPr>
          <w:rStyle w:val="Strong"/>
          <w:rFonts w:asciiTheme="majorBidi" w:hAnsiTheme="majorBidi" w:cstheme="majorBidi"/>
        </w:rPr>
        <w:t xml:space="preserve"> Introduction to ABE and Its Mechanism of Action</w:t>
      </w:r>
      <w:r w:rsidR="00152012" w:rsidRPr="00253BAA">
        <w:rPr>
          <w:rFonts w:asciiTheme="majorBidi" w:hAnsiTheme="majorBidi" w:cstheme="majorBidi"/>
        </w:rPr>
        <w:t xml:space="preserve"> Adenine Base Editors (ABEs) are precision gene-editing tools that convert adenine (A) to guanine (G) without inducing double-strand breaks (DSBs). They consist of a catalytically impaired Cas9 nickase (nCas9) fused to </w:t>
      </w:r>
      <w:r w:rsidR="00152012" w:rsidRPr="00253BAA">
        <w:rPr>
          <w:rFonts w:asciiTheme="majorBidi" w:hAnsiTheme="majorBidi" w:cstheme="majorBidi"/>
        </w:rPr>
        <w:lastRenderedPageBreak/>
        <w:t>an evolved adenine deaminase (TadA variants), which deaminates adenine to inosine (I), subsequently interpreted as guanine during DNA replication or repair. This process occurs within a defined editing window and is guided by a single guide RNA (sgRNA), allowing site-specific base conversion. Unlike CRISPR–Cas9, which relies on DSBs and homology-directed repair (HDR), ABEs operate independently of DNA cleavage, thereby avoiding activation of DNA damage sensors such as ATM and ATR</w:t>
      </w:r>
      <w:r w:rsidR="00775490" w:rsidRPr="00253BAA">
        <w:rPr>
          <w:rFonts w:asciiTheme="majorBidi" w:eastAsia="MS Mincho" w:hAnsiTheme="majorBidi" w:cstheme="majorBidi"/>
        </w:rPr>
        <w:t xml:space="preserve"> [</w:t>
      </w:r>
      <w:r w:rsidR="00152012" w:rsidRPr="00253BAA">
        <w:rPr>
          <w:rFonts w:asciiTheme="majorBidi" w:hAnsiTheme="majorBidi" w:cstheme="majorBidi"/>
        </w:rPr>
        <w:t>21,22,23</w:t>
      </w:r>
      <w:r w:rsidR="00775490" w:rsidRPr="00253BAA">
        <w:rPr>
          <w:rFonts w:asciiTheme="majorBidi" w:eastAsia="MS Mincho" w:hAnsiTheme="majorBidi" w:cstheme="majorBidi"/>
        </w:rPr>
        <w:t>]</w:t>
      </w:r>
      <w:r w:rsidR="00152012" w:rsidRPr="00253BAA">
        <w:rPr>
          <w:rFonts w:asciiTheme="majorBidi" w:hAnsiTheme="majorBidi" w:cstheme="majorBidi"/>
        </w:rPr>
        <w:t>.</w:t>
      </w:r>
    </w:p>
    <w:p w14:paraId="7185E603" w14:textId="2D907E43" w:rsidR="00A61596" w:rsidRPr="00253BAA" w:rsidRDefault="008367B9" w:rsidP="00A61596">
      <w:pPr>
        <w:pStyle w:val="NormalWeb"/>
        <w:spacing w:line="360" w:lineRule="auto"/>
        <w:contextualSpacing/>
        <w:jc w:val="both"/>
        <w:divId w:val="1833257638"/>
        <w:rPr>
          <w:rFonts w:asciiTheme="majorBidi" w:hAnsiTheme="majorBidi" w:cstheme="majorBidi"/>
        </w:rPr>
      </w:pPr>
      <w:r>
        <w:rPr>
          <w:rStyle w:val="Strong"/>
          <w:rFonts w:asciiTheme="majorBidi" w:hAnsiTheme="majorBidi" w:cstheme="majorBidi"/>
        </w:rPr>
        <w:t>4</w:t>
      </w:r>
      <w:r w:rsidR="00645CEF" w:rsidRPr="00253BAA">
        <w:rPr>
          <w:rStyle w:val="Strong"/>
          <w:rFonts w:asciiTheme="majorBidi" w:hAnsiTheme="majorBidi" w:cstheme="majorBidi"/>
        </w:rPr>
        <w:t>.2</w:t>
      </w:r>
      <w:r w:rsidR="00A61596" w:rsidRPr="00253BAA">
        <w:rPr>
          <w:rStyle w:val="Strong"/>
          <w:rFonts w:asciiTheme="majorBidi" w:hAnsiTheme="majorBidi" w:cstheme="majorBidi"/>
        </w:rPr>
        <w:t>.</w:t>
      </w:r>
      <w:r w:rsidR="00645CEF" w:rsidRPr="00253BAA">
        <w:rPr>
          <w:rStyle w:val="Strong"/>
          <w:rFonts w:asciiTheme="majorBidi" w:hAnsiTheme="majorBidi" w:cstheme="majorBidi"/>
        </w:rPr>
        <w:t xml:space="preserve"> </w:t>
      </w:r>
      <w:r w:rsidR="00152012" w:rsidRPr="00253BAA">
        <w:rPr>
          <w:rStyle w:val="Strong"/>
          <w:rFonts w:asciiTheme="majorBidi" w:hAnsiTheme="majorBidi" w:cstheme="majorBidi"/>
        </w:rPr>
        <w:t>Molecular Advantages of ABE over Cas9: No DSB, Reduced DDR</w:t>
      </w:r>
      <w:r w:rsidR="00152012" w:rsidRPr="00253BAA">
        <w:rPr>
          <w:rFonts w:asciiTheme="majorBidi" w:hAnsiTheme="majorBidi" w:cstheme="majorBidi"/>
        </w:rPr>
        <w:t xml:space="preserve"> </w:t>
      </w:r>
    </w:p>
    <w:p w14:paraId="680CD684" w14:textId="50F7E8BB" w:rsidR="00152012" w:rsidRPr="00253BAA" w:rsidRDefault="00152012" w:rsidP="00A61596">
      <w:pPr>
        <w:pStyle w:val="NormalWeb"/>
        <w:spacing w:line="360" w:lineRule="auto"/>
        <w:contextualSpacing/>
        <w:jc w:val="both"/>
        <w:divId w:val="1833257638"/>
        <w:rPr>
          <w:rFonts w:asciiTheme="majorBidi" w:hAnsiTheme="majorBidi" w:cstheme="majorBidi"/>
        </w:rPr>
      </w:pPr>
      <w:r w:rsidRPr="00253BAA">
        <w:rPr>
          <w:rFonts w:asciiTheme="majorBidi" w:hAnsiTheme="majorBidi" w:cstheme="majorBidi"/>
        </w:rPr>
        <w:t>The absence of DSBs in ABE-mediated editing confers significant molecular advantages, particularly in sensitive cell types like CAR-T cells. Cas9-induced DSBs activate the DNA damage response (DDR), leading to phosphorylation of p53 and transcriptional upregulation of cell-cycle arrest and apoptotic genes. In contrast, ABE editing does not trigger ATM/ATR–p53 signaling, resulting in lower expression of TP53 targets such as CDKN1A (p21), GADD45, and BAX. This translates into improved cell viability, reduced genotoxic stress, and enhanced expansion of edited T cells. Furthermore, ABE minimizes risks of chromosomal translocations and insertion-deletion mutations (indels), which are common in Cas9-based editing</w:t>
      </w:r>
      <w:r w:rsidRPr="00253BAA">
        <w:rPr>
          <w:rFonts w:asciiTheme="majorBidi" w:eastAsia="MS Mincho" w:hAnsiTheme="majorBidi" w:cstheme="majorBidi"/>
        </w:rPr>
        <w:t xml:space="preserve"> [</w:t>
      </w:r>
      <w:r w:rsidRPr="00253BAA">
        <w:rPr>
          <w:rFonts w:asciiTheme="majorBidi" w:hAnsiTheme="majorBidi" w:cstheme="majorBidi"/>
        </w:rPr>
        <w:t>24,25,</w:t>
      </w:r>
      <w:r w:rsidR="00A61596" w:rsidRPr="00253BAA">
        <w:rPr>
          <w:rFonts w:asciiTheme="majorBidi" w:hAnsiTheme="majorBidi" w:cstheme="majorBidi"/>
        </w:rPr>
        <w:t>26]</w:t>
      </w:r>
      <w:r w:rsidRPr="00253BAA">
        <w:rPr>
          <w:rFonts w:asciiTheme="majorBidi" w:hAnsiTheme="majorBidi" w:cstheme="majorBidi"/>
        </w:rPr>
        <w:t>.</w:t>
      </w:r>
    </w:p>
    <w:p w14:paraId="51A82FB7" w14:textId="77777777" w:rsidR="00A61596" w:rsidRPr="00253BAA" w:rsidRDefault="00A61596" w:rsidP="00A61596">
      <w:pPr>
        <w:pStyle w:val="NormalWeb"/>
        <w:spacing w:line="360" w:lineRule="auto"/>
        <w:contextualSpacing/>
        <w:jc w:val="both"/>
        <w:divId w:val="1833257638"/>
        <w:rPr>
          <w:rFonts w:asciiTheme="majorBidi" w:hAnsiTheme="majorBidi" w:cstheme="majorBidi"/>
        </w:rPr>
      </w:pPr>
    </w:p>
    <w:p w14:paraId="3B53E7F6" w14:textId="4D92F9EF" w:rsidR="00A61596" w:rsidRPr="00253BAA" w:rsidRDefault="008367B9" w:rsidP="00A61596">
      <w:pPr>
        <w:pStyle w:val="NormalWeb"/>
        <w:spacing w:line="360" w:lineRule="auto"/>
        <w:contextualSpacing/>
        <w:jc w:val="both"/>
        <w:divId w:val="1833257638"/>
        <w:rPr>
          <w:rFonts w:asciiTheme="majorBidi" w:hAnsiTheme="majorBidi" w:cstheme="majorBidi"/>
        </w:rPr>
      </w:pPr>
      <w:r>
        <w:rPr>
          <w:rStyle w:val="Strong"/>
          <w:rFonts w:asciiTheme="majorBidi" w:hAnsiTheme="majorBidi" w:cstheme="majorBidi"/>
        </w:rPr>
        <w:t>4</w:t>
      </w:r>
      <w:r w:rsidR="00645CEF" w:rsidRPr="00253BAA">
        <w:rPr>
          <w:rStyle w:val="Strong"/>
          <w:rFonts w:asciiTheme="majorBidi" w:hAnsiTheme="majorBidi" w:cstheme="majorBidi"/>
        </w:rPr>
        <w:t>.3</w:t>
      </w:r>
      <w:r w:rsidR="00A61596" w:rsidRPr="00253BAA">
        <w:rPr>
          <w:rStyle w:val="Strong"/>
          <w:rFonts w:asciiTheme="majorBidi" w:hAnsiTheme="majorBidi" w:cstheme="majorBidi"/>
        </w:rPr>
        <w:t>.</w:t>
      </w:r>
      <w:r w:rsidR="00152012" w:rsidRPr="00253BAA">
        <w:rPr>
          <w:rStyle w:val="Strong"/>
          <w:rFonts w:asciiTheme="majorBidi" w:hAnsiTheme="majorBidi" w:cstheme="majorBidi"/>
        </w:rPr>
        <w:t xml:space="preserve"> Transcriptomic and ATAC-seq Evidence Supporting Reduced p53 Activation</w:t>
      </w:r>
      <w:r w:rsidR="00152012" w:rsidRPr="00253BAA">
        <w:rPr>
          <w:rFonts w:asciiTheme="majorBidi" w:hAnsiTheme="majorBidi" w:cstheme="majorBidi"/>
        </w:rPr>
        <w:t xml:space="preserve"> </w:t>
      </w:r>
    </w:p>
    <w:p w14:paraId="3B64F25A" w14:textId="4C1ACDBF" w:rsidR="009C7577" w:rsidRPr="00253BAA" w:rsidRDefault="00152012" w:rsidP="00A61596">
      <w:pPr>
        <w:pStyle w:val="NormalWeb"/>
        <w:spacing w:line="360" w:lineRule="auto"/>
        <w:contextualSpacing/>
        <w:jc w:val="both"/>
        <w:divId w:val="1833257638"/>
        <w:rPr>
          <w:rStyle w:val="Strong"/>
          <w:rFonts w:asciiTheme="majorBidi" w:hAnsiTheme="majorBidi" w:cstheme="majorBidi"/>
          <w:b w:val="0"/>
          <w:bCs w:val="0"/>
          <w:rtl/>
        </w:rPr>
      </w:pPr>
      <w:r w:rsidRPr="00253BAA">
        <w:rPr>
          <w:rFonts w:asciiTheme="majorBidi" w:hAnsiTheme="majorBidi" w:cstheme="majorBidi"/>
        </w:rPr>
        <w:t>High-resolution transcriptomic analyses of ABE-edited CAR-T cells reveal minimal activation of DDR-related genes and stress pathways. RNA-seq data show stable expression of cell-cycle regulators and absence of pro-apoptotic transcriptional signatures. ATAC-seq profiling further confirms that ABE preserves chromatin accessibility and enhancer architecture, with no enrichment of DNA repair-associated peaks observed in Cas9-edited cells. These findings indicate that ABE editing maintains epigenetic integrity and avoids stress-induced chromatin remodeling, thereby supporting long-term persistence and functional stability of CAR-T cells</w:t>
      </w:r>
      <w:r w:rsidRPr="00253BAA">
        <w:rPr>
          <w:rFonts w:asciiTheme="majorBidi" w:eastAsia="MS Mincho" w:hAnsiTheme="majorBidi" w:cstheme="majorBidi"/>
        </w:rPr>
        <w:t xml:space="preserve"> [</w:t>
      </w:r>
      <w:r w:rsidRPr="00253BAA">
        <w:rPr>
          <w:rFonts w:asciiTheme="majorBidi" w:hAnsiTheme="majorBidi" w:cstheme="majorBidi"/>
        </w:rPr>
        <w:t>27,28,29,30].</w:t>
      </w:r>
    </w:p>
    <w:p w14:paraId="0E0C5E56" w14:textId="77777777" w:rsidR="00222350" w:rsidRPr="00253BAA" w:rsidRDefault="00222350" w:rsidP="00874678">
      <w:pPr>
        <w:pStyle w:val="NormalWeb"/>
        <w:spacing w:line="360" w:lineRule="auto"/>
        <w:divId w:val="1833257638"/>
        <w:rPr>
          <w:rStyle w:val="Strong"/>
          <w:rFonts w:asciiTheme="majorBidi" w:hAnsiTheme="majorBidi" w:cstheme="majorBidi"/>
          <w:b w:val="0"/>
          <w:bCs w:val="0"/>
        </w:rPr>
      </w:pPr>
    </w:p>
    <w:p w14:paraId="5EB095EC" w14:textId="67E2BC10" w:rsidR="00FC6FF8" w:rsidRPr="00253BAA" w:rsidRDefault="008367B9" w:rsidP="00874678">
      <w:pPr>
        <w:pStyle w:val="Heading3"/>
        <w:bidi w:val="0"/>
        <w:spacing w:line="360" w:lineRule="auto"/>
        <w:contextualSpacing/>
        <w:divId w:val="1176269380"/>
        <w:rPr>
          <w:rStyle w:val="Strong"/>
          <w:rFonts w:asciiTheme="majorBidi" w:eastAsia="Times New Roman" w:hAnsiTheme="majorBidi"/>
          <w:color w:val="000000" w:themeColor="text1"/>
        </w:rPr>
      </w:pPr>
      <w:r>
        <w:rPr>
          <w:rStyle w:val="Strong"/>
          <w:rFonts w:asciiTheme="majorBidi" w:eastAsia="Times New Roman" w:hAnsiTheme="majorBidi"/>
          <w:color w:val="000000" w:themeColor="text1"/>
        </w:rPr>
        <w:t>5</w:t>
      </w:r>
      <w:r w:rsidR="00E01FD7" w:rsidRPr="00253BAA">
        <w:rPr>
          <w:rStyle w:val="Strong"/>
          <w:rFonts w:asciiTheme="majorBidi" w:eastAsia="Times New Roman" w:hAnsiTheme="majorBidi"/>
          <w:color w:val="000000" w:themeColor="text1"/>
        </w:rPr>
        <w:t xml:space="preserve">. </w:t>
      </w:r>
      <w:r w:rsidR="00FC6FF8" w:rsidRPr="00253BAA">
        <w:rPr>
          <w:rStyle w:val="Strong"/>
          <w:rFonts w:asciiTheme="majorBidi" w:eastAsia="Times New Roman" w:hAnsiTheme="majorBidi"/>
          <w:color w:val="000000" w:themeColor="text1"/>
        </w:rPr>
        <w:t>Comparative Analysis: ABE vs. Cas9 in CAR-T Cell Engineering</w:t>
      </w:r>
    </w:p>
    <w:p w14:paraId="2A49C74E" w14:textId="77777777" w:rsidR="00B2734F" w:rsidRPr="00253BAA" w:rsidRDefault="00B2734F" w:rsidP="00B2734F">
      <w:pPr>
        <w:bidi w:val="0"/>
        <w:spacing w:line="360" w:lineRule="auto"/>
        <w:contextualSpacing/>
        <w:divId w:val="1176269380"/>
        <w:rPr>
          <w:rFonts w:asciiTheme="majorBidi" w:hAnsiTheme="majorBidi" w:cstheme="majorBidi"/>
        </w:rPr>
      </w:pPr>
      <w:r w:rsidRPr="00253BAA">
        <w:rPr>
          <w:rFonts w:asciiTheme="majorBidi" w:hAnsiTheme="majorBidi" w:cstheme="majorBidi"/>
        </w:rPr>
        <w:t>Table 1 provides a comprehensive comparison of Cas9 and ABE across mechanistic, functional, and translational parameters in CAR-T engineering.</w:t>
      </w:r>
    </w:p>
    <w:p w14:paraId="06C84381" w14:textId="2D1E04E3" w:rsidR="00B2734F" w:rsidRPr="00253BAA" w:rsidRDefault="008367B9" w:rsidP="00B2734F">
      <w:pPr>
        <w:bidi w:val="0"/>
        <w:spacing w:line="360" w:lineRule="auto"/>
        <w:contextualSpacing/>
        <w:jc w:val="both"/>
        <w:divId w:val="1176269380"/>
        <w:rPr>
          <w:rFonts w:asciiTheme="majorBidi" w:hAnsiTheme="majorBidi" w:cstheme="majorBidi"/>
        </w:rPr>
      </w:pPr>
      <w:r>
        <w:rPr>
          <w:rStyle w:val="Strong"/>
          <w:rFonts w:asciiTheme="majorBidi" w:hAnsiTheme="majorBidi" w:cstheme="majorBidi"/>
        </w:rPr>
        <w:t>5</w:t>
      </w:r>
      <w:r w:rsidR="00E01FD7" w:rsidRPr="00253BAA">
        <w:rPr>
          <w:rStyle w:val="Strong"/>
          <w:rFonts w:asciiTheme="majorBidi" w:hAnsiTheme="majorBidi" w:cstheme="majorBidi"/>
        </w:rPr>
        <w:t>.1</w:t>
      </w:r>
      <w:r w:rsidR="00A61596" w:rsidRPr="00253BAA">
        <w:rPr>
          <w:rStyle w:val="Strong"/>
          <w:rFonts w:asciiTheme="majorBidi" w:hAnsiTheme="majorBidi" w:cstheme="majorBidi"/>
        </w:rPr>
        <w:t>.</w:t>
      </w:r>
      <w:r w:rsidR="00FC6FF8" w:rsidRPr="00253BAA">
        <w:rPr>
          <w:rStyle w:val="Strong"/>
          <w:rFonts w:asciiTheme="majorBidi" w:hAnsiTheme="majorBidi" w:cstheme="majorBidi"/>
        </w:rPr>
        <w:t xml:space="preserve"> Editing Efficiency in Key Immunogenic Loci (TRAC, B2M, CIITA, PVR)</w:t>
      </w:r>
      <w:r w:rsidR="00FC6FF8" w:rsidRPr="00253BAA">
        <w:rPr>
          <w:rFonts w:asciiTheme="majorBidi" w:hAnsiTheme="majorBidi" w:cstheme="majorBidi"/>
        </w:rPr>
        <w:t xml:space="preserve"> </w:t>
      </w:r>
    </w:p>
    <w:p w14:paraId="37747040" w14:textId="5625E4D3" w:rsidR="00FC6FF8" w:rsidRPr="00253BAA" w:rsidRDefault="00FC6FF8" w:rsidP="00B2734F">
      <w:pPr>
        <w:bidi w:val="0"/>
        <w:spacing w:line="360" w:lineRule="auto"/>
        <w:contextualSpacing/>
        <w:jc w:val="both"/>
        <w:divId w:val="1176269380"/>
        <w:rPr>
          <w:rFonts w:asciiTheme="majorBidi" w:hAnsiTheme="majorBidi" w:cstheme="majorBidi"/>
        </w:rPr>
      </w:pPr>
      <w:r w:rsidRPr="00253BAA">
        <w:rPr>
          <w:rFonts w:asciiTheme="majorBidi" w:hAnsiTheme="majorBidi" w:cstheme="majorBidi"/>
        </w:rPr>
        <w:lastRenderedPageBreak/>
        <w:t xml:space="preserve">Multiplex gene editing is essential for generating allogeneic CAR-T cells with reduced immunogenicity and enhanced tumor targeting. Cas9-based editing of TRAC, B2M, CIITA, and PVR loci has shown high knockout efficiency but is associated with substantial double-strand break (DSB) burden, leading to chromosomal translocations and reduced cell viability. </w:t>
      </w:r>
      <w:r w:rsidR="00B91135" w:rsidRPr="00253BAA">
        <w:rPr>
          <w:rFonts w:asciiTheme="majorBidi" w:hAnsiTheme="majorBidi" w:cstheme="majorBidi"/>
        </w:rPr>
        <w:t>ABE achieves efficient multiplex editing with preserved genomic integrity, leading to higher viability and expansion (see Section 3)</w:t>
      </w:r>
      <w:r w:rsidR="004912FB" w:rsidRPr="00253BAA">
        <w:rPr>
          <w:rFonts w:asciiTheme="majorBidi" w:eastAsia="MS Mincho" w:hAnsiTheme="majorBidi" w:cstheme="majorBidi"/>
        </w:rPr>
        <w:t xml:space="preserve"> [</w:t>
      </w:r>
      <w:r w:rsidRPr="00253BAA">
        <w:rPr>
          <w:rFonts w:asciiTheme="majorBidi" w:hAnsiTheme="majorBidi" w:cstheme="majorBidi"/>
        </w:rPr>
        <w:t>31,32,33</w:t>
      </w:r>
      <w:r w:rsidR="004912FB" w:rsidRPr="00253BAA">
        <w:rPr>
          <w:rFonts w:asciiTheme="majorBidi" w:eastAsia="MS Mincho" w:hAnsiTheme="majorBidi" w:cstheme="majorBidi"/>
        </w:rPr>
        <w:t>]</w:t>
      </w:r>
      <w:r w:rsidRPr="00253BAA">
        <w:rPr>
          <w:rFonts w:asciiTheme="majorBidi" w:hAnsiTheme="majorBidi" w:cstheme="majorBidi"/>
        </w:rPr>
        <w:t>.</w:t>
      </w:r>
    </w:p>
    <w:p w14:paraId="3F4CEDF1" w14:textId="00229CD3" w:rsidR="00A61596" w:rsidRPr="00253BAA" w:rsidRDefault="008367B9" w:rsidP="00A61596">
      <w:pPr>
        <w:pStyle w:val="NormalWeb"/>
        <w:spacing w:line="360" w:lineRule="auto"/>
        <w:contextualSpacing/>
        <w:jc w:val="both"/>
        <w:divId w:val="1176269380"/>
        <w:rPr>
          <w:rFonts w:asciiTheme="majorBidi" w:hAnsiTheme="majorBidi" w:cstheme="majorBidi"/>
        </w:rPr>
      </w:pPr>
      <w:r>
        <w:rPr>
          <w:rStyle w:val="Strong"/>
          <w:rFonts w:asciiTheme="majorBidi" w:hAnsiTheme="majorBidi" w:cstheme="majorBidi"/>
        </w:rPr>
        <w:t>5</w:t>
      </w:r>
      <w:r w:rsidR="00E01FD7" w:rsidRPr="00253BAA">
        <w:rPr>
          <w:rStyle w:val="Strong"/>
          <w:rFonts w:asciiTheme="majorBidi" w:hAnsiTheme="majorBidi" w:cstheme="majorBidi"/>
        </w:rPr>
        <w:t>.2</w:t>
      </w:r>
      <w:r w:rsidR="00A61596" w:rsidRPr="00253BAA">
        <w:rPr>
          <w:rStyle w:val="Strong"/>
          <w:rFonts w:asciiTheme="majorBidi" w:hAnsiTheme="majorBidi" w:cstheme="majorBidi"/>
        </w:rPr>
        <w:t>.</w:t>
      </w:r>
      <w:r w:rsidR="00FC6FF8" w:rsidRPr="00253BAA">
        <w:rPr>
          <w:rStyle w:val="Strong"/>
          <w:rFonts w:asciiTheme="majorBidi" w:hAnsiTheme="majorBidi" w:cstheme="majorBidi"/>
        </w:rPr>
        <w:t xml:space="preserve"> Differences in Cell Viability, Expansion, CAR Expression, and Tumor Control</w:t>
      </w:r>
      <w:r w:rsidR="00FC6FF8" w:rsidRPr="00253BAA">
        <w:rPr>
          <w:rFonts w:asciiTheme="majorBidi" w:hAnsiTheme="majorBidi" w:cstheme="majorBidi"/>
        </w:rPr>
        <w:t xml:space="preserve"> </w:t>
      </w:r>
    </w:p>
    <w:p w14:paraId="09032836" w14:textId="3DD86293" w:rsidR="00FC6FF8" w:rsidRPr="00253BAA" w:rsidRDefault="00FC6FF8" w:rsidP="00A61596">
      <w:pPr>
        <w:pStyle w:val="NormalWeb"/>
        <w:spacing w:line="360" w:lineRule="auto"/>
        <w:contextualSpacing/>
        <w:jc w:val="both"/>
        <w:divId w:val="1176269380"/>
        <w:rPr>
          <w:rFonts w:asciiTheme="majorBidi" w:hAnsiTheme="majorBidi" w:cstheme="majorBidi"/>
        </w:rPr>
      </w:pPr>
      <w:r w:rsidRPr="00253BAA">
        <w:rPr>
          <w:rFonts w:asciiTheme="majorBidi" w:hAnsiTheme="majorBidi" w:cstheme="majorBidi"/>
        </w:rPr>
        <w:t>Cas9-edited CAR-T cells often exhibit reduced expansion due to p53-mediated stress responses and apoptosis, particularly under chronic antigen stimulation. ABE-edited cells maintain higher viability and proliferative capacity, with sustained CAR expression and cytokine production (e.g., IL-2, IFN-γ). In xenograft models, ABE-edited CAR-T cells demonstrate superior tumor clearance and longer persistence compared to Cas9-edited counterparts. These functional advantages are attributed to reduced DNA damage signaling and preserved epigenetic landscapes, which support long-term effector function</w:t>
      </w:r>
      <w:r w:rsidR="00E01FD7" w:rsidRPr="00253BAA">
        <w:rPr>
          <w:rFonts w:asciiTheme="majorBidi" w:eastAsia="MS Mincho" w:hAnsiTheme="majorBidi" w:cstheme="majorBidi"/>
        </w:rPr>
        <w:t xml:space="preserve"> [</w:t>
      </w:r>
      <w:r w:rsidRPr="00253BAA">
        <w:rPr>
          <w:rFonts w:asciiTheme="majorBidi" w:hAnsiTheme="majorBidi" w:cstheme="majorBidi"/>
        </w:rPr>
        <w:t>34,35,</w:t>
      </w:r>
      <w:r w:rsidR="00E01FD7" w:rsidRPr="00253BAA">
        <w:rPr>
          <w:rFonts w:asciiTheme="majorBidi" w:hAnsiTheme="majorBidi" w:cstheme="majorBidi"/>
        </w:rPr>
        <w:t>36]</w:t>
      </w:r>
      <w:r w:rsidRPr="00253BAA">
        <w:rPr>
          <w:rFonts w:asciiTheme="majorBidi" w:hAnsiTheme="majorBidi" w:cstheme="majorBidi"/>
        </w:rPr>
        <w:t>.</w:t>
      </w:r>
    </w:p>
    <w:p w14:paraId="314A66DD" w14:textId="77777777" w:rsidR="00A61596" w:rsidRPr="00253BAA" w:rsidRDefault="00A61596" w:rsidP="00A61596">
      <w:pPr>
        <w:pStyle w:val="NormalWeb"/>
        <w:spacing w:line="360" w:lineRule="auto"/>
        <w:contextualSpacing/>
        <w:jc w:val="both"/>
        <w:divId w:val="1176269380"/>
        <w:rPr>
          <w:rFonts w:asciiTheme="majorBidi" w:hAnsiTheme="majorBidi" w:cstheme="majorBidi"/>
        </w:rPr>
      </w:pPr>
    </w:p>
    <w:p w14:paraId="04BD944C" w14:textId="1A6B0CC5" w:rsidR="00A61596" w:rsidRPr="00253BAA" w:rsidRDefault="008367B9" w:rsidP="00874678">
      <w:pPr>
        <w:pStyle w:val="NormalWeb"/>
        <w:spacing w:line="360" w:lineRule="auto"/>
        <w:contextualSpacing/>
        <w:divId w:val="1176269380"/>
        <w:rPr>
          <w:rFonts w:asciiTheme="majorBidi" w:hAnsiTheme="majorBidi" w:cstheme="majorBidi"/>
        </w:rPr>
      </w:pPr>
      <w:r>
        <w:rPr>
          <w:rStyle w:val="Strong"/>
          <w:rFonts w:asciiTheme="majorBidi" w:hAnsiTheme="majorBidi" w:cstheme="majorBidi"/>
        </w:rPr>
        <w:t>5</w:t>
      </w:r>
      <w:r w:rsidR="00E01FD7" w:rsidRPr="00253BAA">
        <w:rPr>
          <w:rStyle w:val="Strong"/>
          <w:rFonts w:asciiTheme="majorBidi" w:hAnsiTheme="majorBidi" w:cstheme="majorBidi"/>
        </w:rPr>
        <w:t>.3</w:t>
      </w:r>
      <w:r w:rsidR="00A61596" w:rsidRPr="00253BAA">
        <w:rPr>
          <w:rStyle w:val="Strong"/>
          <w:rFonts w:asciiTheme="majorBidi" w:hAnsiTheme="majorBidi" w:cstheme="majorBidi"/>
        </w:rPr>
        <w:t>.</w:t>
      </w:r>
      <w:r w:rsidR="00E01FD7" w:rsidRPr="00253BAA">
        <w:rPr>
          <w:rStyle w:val="Strong"/>
          <w:rFonts w:asciiTheme="majorBidi" w:hAnsiTheme="majorBidi" w:cstheme="majorBidi"/>
        </w:rPr>
        <w:t xml:space="preserve"> </w:t>
      </w:r>
      <w:r w:rsidR="00FC6FF8" w:rsidRPr="00253BAA">
        <w:rPr>
          <w:rStyle w:val="Strong"/>
          <w:rFonts w:asciiTheme="majorBidi" w:hAnsiTheme="majorBidi" w:cstheme="majorBidi"/>
        </w:rPr>
        <w:t>Off-Target Profiles and Genomic Stability</w:t>
      </w:r>
      <w:r w:rsidR="00FC6FF8" w:rsidRPr="00253BAA">
        <w:rPr>
          <w:rFonts w:asciiTheme="majorBidi" w:hAnsiTheme="majorBidi" w:cstheme="majorBidi"/>
        </w:rPr>
        <w:t xml:space="preserve"> </w:t>
      </w:r>
    </w:p>
    <w:p w14:paraId="5F72D5D4" w14:textId="0E58EE60" w:rsidR="00FA132C" w:rsidRPr="00253BAA" w:rsidRDefault="00FC6FF8" w:rsidP="00A61596">
      <w:pPr>
        <w:pStyle w:val="NormalWeb"/>
        <w:spacing w:line="360" w:lineRule="auto"/>
        <w:contextualSpacing/>
        <w:jc w:val="both"/>
        <w:divId w:val="1176269380"/>
        <w:rPr>
          <w:rFonts w:asciiTheme="majorBidi" w:hAnsiTheme="majorBidi" w:cstheme="majorBidi"/>
          <w:rtl/>
        </w:rPr>
      </w:pPr>
      <w:r w:rsidRPr="00253BAA">
        <w:rPr>
          <w:rFonts w:asciiTheme="majorBidi" w:hAnsiTheme="majorBidi" w:cstheme="majorBidi"/>
        </w:rPr>
        <w:t>Cas9 editing carries risks of off-target cleavage and chromosomal rearrangements, especially in multiplex settings. Whole-genome sequencing and GUIDE-seq analyses have identified translocations between edited loci and unintended DSBs in Cas9-edited CAR-T cells. ABE, by avoiding DSBs, significantly reduces these risks. Although base editors may induce off-target A→G conversions and rare RNA editing events, recent engineering of high-fidelity TadA variants and optimized sgRNA design has minimized these effects. Structural variant analysis confirms that ABE-edited cells exhibit lower rates of large-scale genomic alterations and maintain karyotypic stability, making them more suitable for clinical translation</w:t>
      </w:r>
      <w:r w:rsidRPr="00253BAA">
        <w:rPr>
          <w:rFonts w:asciiTheme="majorBidi" w:eastAsia="MS Mincho" w:hAnsiTheme="majorBidi" w:cstheme="majorBidi"/>
        </w:rPr>
        <w:t xml:space="preserve"> [</w:t>
      </w:r>
      <w:r w:rsidRPr="00253BAA">
        <w:rPr>
          <w:rFonts w:asciiTheme="majorBidi" w:hAnsiTheme="majorBidi" w:cstheme="majorBidi"/>
        </w:rPr>
        <w:t>37–40</w:t>
      </w:r>
      <w:r w:rsidRPr="00253BAA">
        <w:rPr>
          <w:rFonts w:asciiTheme="majorBidi" w:eastAsia="MS Mincho" w:hAnsiTheme="majorBidi" w:cstheme="majorBidi"/>
        </w:rPr>
        <w:t>]</w:t>
      </w:r>
      <w:r w:rsidRPr="00253BAA">
        <w:rPr>
          <w:rFonts w:asciiTheme="majorBidi" w:hAnsiTheme="majorBidi" w:cstheme="majorBidi"/>
        </w:rPr>
        <w:t>.</w:t>
      </w:r>
    </w:p>
    <w:p w14:paraId="764CF336" w14:textId="77777777" w:rsidR="00222350" w:rsidRPr="00253BAA" w:rsidRDefault="00222350" w:rsidP="00874678">
      <w:pPr>
        <w:pStyle w:val="NormalWeb"/>
        <w:spacing w:line="360" w:lineRule="auto"/>
        <w:divId w:val="1176269380"/>
        <w:rPr>
          <w:rFonts w:asciiTheme="majorBidi" w:hAnsiTheme="majorBidi" w:cstheme="majorBidi"/>
          <w:rtl/>
        </w:rPr>
      </w:pPr>
    </w:p>
    <w:p w14:paraId="32C6C02D" w14:textId="776D5C8B" w:rsidR="00360BB4" w:rsidRPr="00253BAA" w:rsidRDefault="008367B9" w:rsidP="00874678">
      <w:pPr>
        <w:pStyle w:val="Heading3"/>
        <w:bidi w:val="0"/>
        <w:spacing w:line="360" w:lineRule="auto"/>
        <w:divId w:val="1971596611"/>
        <w:rPr>
          <w:rFonts w:asciiTheme="majorBidi" w:eastAsia="Times New Roman" w:hAnsiTheme="majorBidi"/>
          <w:color w:val="000000" w:themeColor="text1"/>
          <w:kern w:val="0"/>
          <w:sz w:val="27"/>
          <w:szCs w:val="27"/>
          <w14:ligatures w14:val="none"/>
        </w:rPr>
      </w:pPr>
      <w:r>
        <w:rPr>
          <w:rStyle w:val="Strong"/>
          <w:rFonts w:asciiTheme="majorBidi" w:eastAsia="Times New Roman" w:hAnsiTheme="majorBidi"/>
          <w:color w:val="000000" w:themeColor="text1"/>
        </w:rPr>
        <w:t>6</w:t>
      </w:r>
      <w:r w:rsidR="0075482F" w:rsidRPr="00253BAA">
        <w:rPr>
          <w:rStyle w:val="Strong"/>
          <w:rFonts w:asciiTheme="majorBidi" w:eastAsia="Times New Roman" w:hAnsiTheme="majorBidi"/>
          <w:color w:val="000000" w:themeColor="text1"/>
        </w:rPr>
        <w:t xml:space="preserve">. </w:t>
      </w:r>
      <w:r w:rsidR="00360BB4" w:rsidRPr="00253BAA">
        <w:rPr>
          <w:rStyle w:val="Strong"/>
          <w:rFonts w:asciiTheme="majorBidi" w:eastAsia="Times New Roman" w:hAnsiTheme="majorBidi"/>
          <w:color w:val="000000" w:themeColor="text1"/>
        </w:rPr>
        <w:t>Translational Implications and Preclinical Evidence</w:t>
      </w:r>
    </w:p>
    <w:p w14:paraId="6C639110" w14:textId="22E956CF" w:rsidR="00A61596" w:rsidRPr="00253BAA" w:rsidRDefault="008367B9" w:rsidP="00A61596">
      <w:pPr>
        <w:pStyle w:val="NormalWeb"/>
        <w:spacing w:line="360" w:lineRule="auto"/>
        <w:contextualSpacing/>
        <w:jc w:val="both"/>
        <w:divId w:val="1971596611"/>
        <w:rPr>
          <w:rFonts w:asciiTheme="majorBidi" w:hAnsiTheme="majorBidi" w:cstheme="majorBidi"/>
        </w:rPr>
      </w:pPr>
      <w:r>
        <w:rPr>
          <w:rStyle w:val="Strong"/>
          <w:rFonts w:asciiTheme="majorBidi" w:hAnsiTheme="majorBidi" w:cstheme="majorBidi"/>
        </w:rPr>
        <w:t>6</w:t>
      </w:r>
      <w:r w:rsidR="0075482F" w:rsidRPr="00253BAA">
        <w:rPr>
          <w:rStyle w:val="Strong"/>
          <w:rFonts w:asciiTheme="majorBidi" w:hAnsiTheme="majorBidi" w:cstheme="majorBidi"/>
        </w:rPr>
        <w:t xml:space="preserve">.1. </w:t>
      </w:r>
      <w:r w:rsidR="00A61596" w:rsidRPr="00253BAA">
        <w:rPr>
          <w:rStyle w:val="Strong"/>
          <w:rFonts w:asciiTheme="majorBidi" w:hAnsiTheme="majorBidi" w:cstheme="majorBidi"/>
        </w:rPr>
        <w:t>In Vitro and i</w:t>
      </w:r>
      <w:r w:rsidR="00360BB4" w:rsidRPr="00253BAA">
        <w:rPr>
          <w:rStyle w:val="Strong"/>
          <w:rFonts w:asciiTheme="majorBidi" w:hAnsiTheme="majorBidi" w:cstheme="majorBidi"/>
        </w:rPr>
        <w:t>n Vivo Performance of ABE-Edited CAR-T Cells</w:t>
      </w:r>
      <w:r w:rsidR="00360BB4" w:rsidRPr="00253BAA">
        <w:rPr>
          <w:rFonts w:asciiTheme="majorBidi" w:hAnsiTheme="majorBidi" w:cstheme="majorBidi"/>
        </w:rPr>
        <w:t xml:space="preserve"> </w:t>
      </w:r>
    </w:p>
    <w:p w14:paraId="4D24E448" w14:textId="6547920B" w:rsidR="00A61596" w:rsidRDefault="00360BB4" w:rsidP="00DB7A16">
      <w:pPr>
        <w:pStyle w:val="NormalWeb"/>
        <w:spacing w:line="360" w:lineRule="auto"/>
        <w:contextualSpacing/>
        <w:jc w:val="both"/>
        <w:divId w:val="1971596611"/>
        <w:rPr>
          <w:rFonts w:asciiTheme="majorBidi" w:hAnsiTheme="majorBidi" w:cstheme="majorBidi"/>
        </w:rPr>
      </w:pPr>
      <w:r w:rsidRPr="00253BAA">
        <w:rPr>
          <w:rFonts w:asciiTheme="majorBidi" w:hAnsiTheme="majorBidi" w:cstheme="majorBidi"/>
        </w:rPr>
        <w:t xml:space="preserve">ABE-edited CAR-T cells have demonstrated superior performance in both in vitro assays and preclinical animal models. In vitro, these cells exhibit enhanced viability, sustained proliferation, and robust cytokine production under repeated antigen stimulation. Unlike Cas9-edited cells, which often undergo p53-mediated cell-cycle arrest and apoptosis, ABE-edited </w:t>
      </w:r>
      <w:r w:rsidRPr="00253BAA">
        <w:rPr>
          <w:rFonts w:asciiTheme="majorBidi" w:hAnsiTheme="majorBidi" w:cstheme="majorBidi"/>
        </w:rPr>
        <w:lastRenderedPageBreak/>
        <w:t>cells maintain functional integrity and effector phenotype. In murine xenograft models of leukemia and lymphoma, ABE-engineered CAR-T cells show improved tumor clearance, prolonged persistence, and increased survival rates</w:t>
      </w:r>
      <w:r w:rsidR="003F2E8C" w:rsidRPr="00253BAA">
        <w:rPr>
          <w:rFonts w:asciiTheme="majorBidi" w:eastAsia="MS Mincho" w:hAnsiTheme="majorBidi" w:cstheme="majorBidi"/>
        </w:rPr>
        <w:t xml:space="preserve"> [</w:t>
      </w:r>
      <w:r w:rsidRPr="00253BAA">
        <w:rPr>
          <w:rFonts w:asciiTheme="majorBidi" w:hAnsiTheme="majorBidi" w:cstheme="majorBidi"/>
        </w:rPr>
        <w:t>41,</w:t>
      </w:r>
      <w:r w:rsidR="003F2E8C" w:rsidRPr="00253BAA">
        <w:rPr>
          <w:rFonts w:asciiTheme="majorBidi" w:hAnsiTheme="majorBidi" w:cstheme="majorBidi"/>
        </w:rPr>
        <w:t>42]</w:t>
      </w:r>
      <w:r w:rsidR="0037562E" w:rsidRPr="00253BAA">
        <w:rPr>
          <w:rFonts w:asciiTheme="majorBidi" w:hAnsiTheme="majorBidi" w:cstheme="majorBidi"/>
        </w:rPr>
        <w:t xml:space="preserve">. </w:t>
      </w:r>
      <w:r w:rsidR="00446BD4" w:rsidRPr="00253BAA">
        <w:rPr>
          <w:rFonts w:asciiTheme="majorBidi" w:hAnsiTheme="majorBidi" w:cstheme="majorBidi"/>
        </w:rPr>
        <w:t xml:space="preserve">These translational findings are consistent with the data summarized in Table 1, which highlights the superior viability, expansion, and tumor clearance of ABE-edited CAR-T cells. </w:t>
      </w:r>
      <w:r w:rsidR="00585EA2" w:rsidRPr="00253BAA">
        <w:rPr>
          <w:rFonts w:asciiTheme="majorBidi" w:hAnsiTheme="majorBidi" w:cstheme="majorBidi"/>
        </w:rPr>
        <w:t xml:space="preserve">These outcomes reflect reduced genotoxic stress and preserved epigenetic homeostasis, consistent with the mechanism described in Section </w:t>
      </w:r>
      <w:r w:rsidR="00DB7A16">
        <w:rPr>
          <w:rFonts w:asciiTheme="majorBidi" w:hAnsiTheme="majorBidi" w:cstheme="majorBidi"/>
        </w:rPr>
        <w:t>4</w:t>
      </w:r>
      <w:r w:rsidR="00585EA2" w:rsidRPr="00253BAA">
        <w:rPr>
          <w:rFonts w:asciiTheme="majorBidi" w:hAnsiTheme="majorBidi" w:cstheme="majorBidi"/>
        </w:rPr>
        <w:t>.</w:t>
      </w:r>
    </w:p>
    <w:p w14:paraId="34AC3F69" w14:textId="77777777" w:rsidR="00DB7A16" w:rsidRPr="00253BAA" w:rsidRDefault="00DB7A16" w:rsidP="00DB7A16">
      <w:pPr>
        <w:pStyle w:val="NormalWeb"/>
        <w:spacing w:line="360" w:lineRule="auto"/>
        <w:contextualSpacing/>
        <w:jc w:val="both"/>
        <w:divId w:val="1971596611"/>
        <w:rPr>
          <w:rFonts w:asciiTheme="majorBidi" w:hAnsiTheme="majorBidi" w:cstheme="majorBidi"/>
        </w:rPr>
      </w:pPr>
    </w:p>
    <w:p w14:paraId="0CE8A66E" w14:textId="524F96E3" w:rsidR="00A61596" w:rsidRPr="00253BAA" w:rsidRDefault="008367B9" w:rsidP="00A61596">
      <w:pPr>
        <w:pStyle w:val="NormalWeb"/>
        <w:spacing w:line="360" w:lineRule="auto"/>
        <w:contextualSpacing/>
        <w:jc w:val="both"/>
        <w:divId w:val="1971596611"/>
        <w:rPr>
          <w:rFonts w:asciiTheme="majorBidi" w:hAnsiTheme="majorBidi" w:cstheme="majorBidi"/>
        </w:rPr>
      </w:pPr>
      <w:r>
        <w:rPr>
          <w:rStyle w:val="Strong"/>
          <w:rFonts w:asciiTheme="majorBidi" w:hAnsiTheme="majorBidi" w:cstheme="majorBidi"/>
        </w:rPr>
        <w:t>6</w:t>
      </w:r>
      <w:r w:rsidR="0075482F" w:rsidRPr="00253BAA">
        <w:rPr>
          <w:rStyle w:val="Strong"/>
          <w:rFonts w:asciiTheme="majorBidi" w:hAnsiTheme="majorBidi" w:cstheme="majorBidi"/>
        </w:rPr>
        <w:t xml:space="preserve">.2. </w:t>
      </w:r>
      <w:r w:rsidR="00360BB4" w:rsidRPr="00253BAA">
        <w:rPr>
          <w:rStyle w:val="Strong"/>
          <w:rFonts w:asciiTheme="majorBidi" w:hAnsiTheme="majorBidi" w:cstheme="majorBidi"/>
        </w:rPr>
        <w:t>Advantages in Allogeneic CAR-T Manufacturing</w:t>
      </w:r>
      <w:r w:rsidR="00360BB4" w:rsidRPr="00253BAA">
        <w:rPr>
          <w:rFonts w:asciiTheme="majorBidi" w:hAnsiTheme="majorBidi" w:cstheme="majorBidi"/>
        </w:rPr>
        <w:t xml:space="preserve"> </w:t>
      </w:r>
    </w:p>
    <w:p w14:paraId="34247463" w14:textId="1B56858F" w:rsidR="00360BB4" w:rsidRPr="00253BAA" w:rsidRDefault="00360BB4" w:rsidP="00A61596">
      <w:pPr>
        <w:pStyle w:val="NormalWeb"/>
        <w:spacing w:line="360" w:lineRule="auto"/>
        <w:contextualSpacing/>
        <w:jc w:val="both"/>
        <w:divId w:val="1971596611"/>
        <w:rPr>
          <w:rFonts w:asciiTheme="majorBidi" w:hAnsiTheme="majorBidi" w:cstheme="majorBidi"/>
        </w:rPr>
      </w:pPr>
      <w:r w:rsidRPr="00253BAA">
        <w:rPr>
          <w:rFonts w:asciiTheme="majorBidi" w:hAnsiTheme="majorBidi" w:cstheme="majorBidi"/>
        </w:rPr>
        <w:t>The generation of allogeneic (“off-the-shelf”) CAR-T cells requires multiplex editing of immunogenic loci such as TRAC, B2M, CIITA, and PVR. Cas9-mediated editing of these loci, while efficient, introduces multiple DSBs that compromise cell viability and increase the risk of chromosomal translocations. ABE offers a safer alternative by enabling precise base substitutions that disrupt gene function without DNA cleavage. Recent studies have shown that ABE-edited allogeneic CAR-T cells yield higher expansion rates, maintain CAR expression, and exhibit reduced immunogenicity in vitro and in vivo</w:t>
      </w:r>
      <w:r w:rsidR="003F2E8C" w:rsidRPr="00253BAA">
        <w:rPr>
          <w:rFonts w:asciiTheme="majorBidi" w:eastAsia="MS Mincho" w:hAnsiTheme="majorBidi" w:cstheme="majorBidi"/>
        </w:rPr>
        <w:t xml:space="preserve"> [</w:t>
      </w:r>
      <w:r w:rsidRPr="00253BAA">
        <w:rPr>
          <w:rFonts w:asciiTheme="majorBidi" w:hAnsiTheme="majorBidi" w:cstheme="majorBidi"/>
        </w:rPr>
        <w:t>43,44</w:t>
      </w:r>
      <w:r w:rsidR="003F2E8C" w:rsidRPr="00253BAA">
        <w:rPr>
          <w:rFonts w:asciiTheme="majorBidi" w:eastAsia="MS Mincho" w:hAnsiTheme="majorBidi" w:cstheme="majorBidi"/>
        </w:rPr>
        <w:t>]</w:t>
      </w:r>
      <w:r w:rsidRPr="00253BAA">
        <w:rPr>
          <w:rFonts w:asciiTheme="majorBidi" w:hAnsiTheme="majorBidi" w:cstheme="majorBidi"/>
        </w:rPr>
        <w:t>. These features make ABE a promising platform for scalable and clinically viable CAR-T manufacturing.</w:t>
      </w:r>
    </w:p>
    <w:p w14:paraId="614E8BE6" w14:textId="77777777" w:rsidR="00A61596" w:rsidRPr="00253BAA" w:rsidRDefault="00A61596" w:rsidP="00A61596">
      <w:pPr>
        <w:pStyle w:val="NormalWeb"/>
        <w:spacing w:line="360" w:lineRule="auto"/>
        <w:contextualSpacing/>
        <w:jc w:val="both"/>
        <w:divId w:val="1971596611"/>
        <w:rPr>
          <w:rFonts w:asciiTheme="majorBidi" w:hAnsiTheme="majorBidi" w:cstheme="majorBidi"/>
        </w:rPr>
      </w:pPr>
    </w:p>
    <w:p w14:paraId="1CBE8049" w14:textId="3AC13FDB" w:rsidR="00A61596" w:rsidRPr="00253BAA" w:rsidRDefault="008367B9" w:rsidP="00A61596">
      <w:pPr>
        <w:pStyle w:val="NormalWeb"/>
        <w:spacing w:line="360" w:lineRule="auto"/>
        <w:contextualSpacing/>
        <w:jc w:val="both"/>
        <w:divId w:val="1971596611"/>
        <w:rPr>
          <w:rFonts w:asciiTheme="majorBidi" w:hAnsiTheme="majorBidi" w:cstheme="majorBidi"/>
        </w:rPr>
      </w:pPr>
      <w:r>
        <w:rPr>
          <w:rStyle w:val="Strong"/>
          <w:rFonts w:asciiTheme="majorBidi" w:hAnsiTheme="majorBidi" w:cstheme="majorBidi"/>
        </w:rPr>
        <w:t>6</w:t>
      </w:r>
      <w:r w:rsidR="00B65560" w:rsidRPr="00253BAA">
        <w:rPr>
          <w:rStyle w:val="Strong"/>
          <w:rFonts w:asciiTheme="majorBidi" w:hAnsiTheme="majorBidi" w:cstheme="majorBidi"/>
        </w:rPr>
        <w:t xml:space="preserve">.3. </w:t>
      </w:r>
      <w:r w:rsidR="00360BB4" w:rsidRPr="00253BAA">
        <w:rPr>
          <w:rStyle w:val="Strong"/>
          <w:rFonts w:asciiTheme="majorBidi" w:hAnsiTheme="majorBidi" w:cstheme="majorBidi"/>
        </w:rPr>
        <w:t>Reduced Selective Pressure for TP53-Deficient Clones</w:t>
      </w:r>
      <w:r w:rsidR="00360BB4" w:rsidRPr="00253BAA">
        <w:rPr>
          <w:rFonts w:asciiTheme="majorBidi" w:hAnsiTheme="majorBidi" w:cstheme="majorBidi"/>
        </w:rPr>
        <w:t xml:space="preserve"> </w:t>
      </w:r>
    </w:p>
    <w:p w14:paraId="42DCC9EF" w14:textId="33FFF648" w:rsidR="00991C8B" w:rsidRDefault="00360BB4" w:rsidP="00A61596">
      <w:pPr>
        <w:pStyle w:val="NormalWeb"/>
        <w:spacing w:line="360" w:lineRule="auto"/>
        <w:contextualSpacing/>
        <w:jc w:val="both"/>
        <w:divId w:val="1971596611"/>
        <w:rPr>
          <w:rFonts w:asciiTheme="majorBidi" w:hAnsiTheme="majorBidi" w:cstheme="majorBidi"/>
        </w:rPr>
      </w:pPr>
      <w:r w:rsidRPr="00253BAA">
        <w:rPr>
          <w:rFonts w:asciiTheme="majorBidi" w:hAnsiTheme="majorBidi" w:cstheme="majorBidi"/>
        </w:rPr>
        <w:t xml:space="preserve">One of the major safety concerns in Cas9-based editing is the emergence of TP53-deficient clones due to selective pressure from DSB-induced p53 activation. These clones may escape apoptosis and expand preferentially, posing oncogenic risks. ABE circumvents this issue by avoiding DSBs and minimizing activation of the p53 pathway. Clonal tracking and single-cell RNA-seq analyses confirm that ABE-edited CAR-T populations retain TP53 expression and show no enrichment of p53-deficient </w:t>
      </w:r>
      <w:r w:rsidR="003F2E8C" w:rsidRPr="00253BAA">
        <w:rPr>
          <w:rFonts w:asciiTheme="majorBidi" w:hAnsiTheme="majorBidi" w:cstheme="majorBidi"/>
        </w:rPr>
        <w:t>subclones</w:t>
      </w:r>
      <w:r w:rsidR="003F2E8C" w:rsidRPr="00253BAA">
        <w:rPr>
          <w:rFonts w:asciiTheme="majorBidi" w:eastAsia="MS Mincho" w:hAnsiTheme="majorBidi" w:cstheme="majorBidi"/>
        </w:rPr>
        <w:t xml:space="preserve"> [</w:t>
      </w:r>
      <w:r w:rsidRPr="00253BAA">
        <w:rPr>
          <w:rFonts w:asciiTheme="majorBidi" w:hAnsiTheme="majorBidi" w:cstheme="majorBidi"/>
        </w:rPr>
        <w:t>45–47</w:t>
      </w:r>
      <w:r w:rsidR="003F2E8C" w:rsidRPr="00253BAA">
        <w:rPr>
          <w:rFonts w:asciiTheme="majorBidi" w:eastAsia="MS Mincho" w:hAnsiTheme="majorBidi" w:cstheme="majorBidi"/>
        </w:rPr>
        <w:t>]</w:t>
      </w:r>
      <w:r w:rsidRPr="00253BAA">
        <w:rPr>
          <w:rFonts w:asciiTheme="majorBidi" w:hAnsiTheme="majorBidi" w:cstheme="majorBidi"/>
        </w:rPr>
        <w:t>. This reduction in selective pressure enhances the safety profile of ABE-edited products and supports their translational potential in clinical settings.</w:t>
      </w:r>
    </w:p>
    <w:p w14:paraId="7D97E5E5" w14:textId="475B75CE" w:rsidR="00DB7A16" w:rsidRDefault="00DB7A16" w:rsidP="00A61596">
      <w:pPr>
        <w:pStyle w:val="NormalWeb"/>
        <w:spacing w:line="360" w:lineRule="auto"/>
        <w:contextualSpacing/>
        <w:jc w:val="both"/>
        <w:divId w:val="1971596611"/>
        <w:rPr>
          <w:rFonts w:asciiTheme="majorBidi" w:hAnsiTheme="majorBidi" w:cstheme="majorBidi"/>
        </w:rPr>
      </w:pPr>
    </w:p>
    <w:p w14:paraId="1AC3442B" w14:textId="501AE16A" w:rsidR="00DB7A16" w:rsidRDefault="00DB7A16" w:rsidP="00A61596">
      <w:pPr>
        <w:pStyle w:val="NormalWeb"/>
        <w:spacing w:line="360" w:lineRule="auto"/>
        <w:contextualSpacing/>
        <w:jc w:val="both"/>
        <w:divId w:val="1971596611"/>
        <w:rPr>
          <w:rFonts w:asciiTheme="majorBidi" w:hAnsiTheme="majorBidi" w:cstheme="majorBidi"/>
        </w:rPr>
      </w:pPr>
    </w:p>
    <w:p w14:paraId="32467766" w14:textId="545F605E" w:rsidR="00DB7A16" w:rsidRDefault="00DB7A16" w:rsidP="00A61596">
      <w:pPr>
        <w:pStyle w:val="NormalWeb"/>
        <w:spacing w:line="360" w:lineRule="auto"/>
        <w:contextualSpacing/>
        <w:jc w:val="both"/>
        <w:divId w:val="1971596611"/>
        <w:rPr>
          <w:rFonts w:asciiTheme="majorBidi" w:hAnsiTheme="majorBidi" w:cstheme="majorBidi"/>
        </w:rPr>
      </w:pPr>
    </w:p>
    <w:p w14:paraId="6A00C798" w14:textId="3AF5FD11" w:rsidR="00DB7A16" w:rsidRDefault="00DB7A16" w:rsidP="00A61596">
      <w:pPr>
        <w:pStyle w:val="NormalWeb"/>
        <w:spacing w:line="360" w:lineRule="auto"/>
        <w:contextualSpacing/>
        <w:jc w:val="both"/>
        <w:divId w:val="1971596611"/>
        <w:rPr>
          <w:rFonts w:asciiTheme="majorBidi" w:hAnsiTheme="majorBidi" w:cstheme="majorBidi"/>
        </w:rPr>
      </w:pPr>
    </w:p>
    <w:p w14:paraId="09FA4FC5" w14:textId="62D2DCD4" w:rsidR="00DB7A16" w:rsidRDefault="00DB7A16" w:rsidP="00A61596">
      <w:pPr>
        <w:pStyle w:val="NormalWeb"/>
        <w:spacing w:line="360" w:lineRule="auto"/>
        <w:contextualSpacing/>
        <w:jc w:val="both"/>
        <w:divId w:val="1971596611"/>
        <w:rPr>
          <w:rFonts w:asciiTheme="majorBidi" w:hAnsiTheme="majorBidi" w:cstheme="majorBidi"/>
        </w:rPr>
      </w:pPr>
    </w:p>
    <w:p w14:paraId="4E6EADEC" w14:textId="77777777" w:rsidR="00DB7A16" w:rsidRPr="00253BAA" w:rsidRDefault="00DB7A16" w:rsidP="00A61596">
      <w:pPr>
        <w:pStyle w:val="NormalWeb"/>
        <w:spacing w:line="360" w:lineRule="auto"/>
        <w:contextualSpacing/>
        <w:jc w:val="both"/>
        <w:divId w:val="1971596611"/>
        <w:rPr>
          <w:rFonts w:asciiTheme="majorBidi" w:hAnsiTheme="majorBidi" w:cstheme="majorBidi"/>
          <w:rtl/>
        </w:rPr>
      </w:pPr>
    </w:p>
    <w:p w14:paraId="7C63CC5C" w14:textId="77777777" w:rsidR="00DB7A16" w:rsidRPr="00253BAA" w:rsidRDefault="00DB7A16" w:rsidP="00DB7A16">
      <w:pPr>
        <w:pStyle w:val="NormalWeb"/>
        <w:spacing w:line="360" w:lineRule="auto"/>
        <w:jc w:val="both"/>
        <w:divId w:val="1971596611"/>
        <w:rPr>
          <w:rFonts w:asciiTheme="majorBidi" w:hAnsiTheme="majorBidi" w:cstheme="majorBidi"/>
          <w:sz w:val="20"/>
          <w:szCs w:val="20"/>
        </w:rPr>
      </w:pPr>
      <w:r w:rsidRPr="00253BAA">
        <w:rPr>
          <w:rFonts w:asciiTheme="majorBidi" w:hAnsiTheme="majorBidi" w:cstheme="majorBidi"/>
          <w:sz w:val="20"/>
          <w:szCs w:val="20"/>
        </w:rPr>
        <w:lastRenderedPageBreak/>
        <w:t>Table 1. Comprehensive comparison of Cas9 and ABE in CAR-T cell engineering. This unified table integrates mechanistic, functional, and translational parameters. ABE consistently demonstrates superior safety and performance by avoiding DSBs and p53 activation, resulting in enhanced viability, expansion, CAR expression, and tumor clearance, while minimizing off-targets, immunogenicity, and TP53-deficient clonal selection.</w:t>
      </w:r>
    </w:p>
    <w:tbl>
      <w:tblPr>
        <w:tblStyle w:val="TableGrid"/>
        <w:tblW w:w="9347" w:type="dxa"/>
        <w:tblLook w:val="04A0" w:firstRow="1" w:lastRow="0" w:firstColumn="1" w:lastColumn="0" w:noHBand="0" w:noVBand="1"/>
      </w:tblPr>
      <w:tblGrid>
        <w:gridCol w:w="3115"/>
        <w:gridCol w:w="3116"/>
        <w:gridCol w:w="3116"/>
      </w:tblGrid>
      <w:tr w:rsidR="00DB7A16" w14:paraId="7C1C3866" w14:textId="77777777" w:rsidTr="00DB7A16">
        <w:trPr>
          <w:divId w:val="1971596611"/>
        </w:trPr>
        <w:tc>
          <w:tcPr>
            <w:tcW w:w="3115" w:type="dxa"/>
            <w:vAlign w:val="center"/>
          </w:tcPr>
          <w:p w14:paraId="1BA3D657"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Feature</w:t>
            </w:r>
          </w:p>
        </w:tc>
        <w:tc>
          <w:tcPr>
            <w:tcW w:w="3116" w:type="dxa"/>
            <w:vAlign w:val="center"/>
          </w:tcPr>
          <w:p w14:paraId="77629740" w14:textId="77777777" w:rsidR="00DB7A16" w:rsidRPr="00253BAA" w:rsidRDefault="00DB7A16" w:rsidP="00052C2B">
            <w:pPr>
              <w:bidi w:val="0"/>
              <w:spacing w:line="360" w:lineRule="auto"/>
              <w:jc w:val="center"/>
              <w:rPr>
                <w:rFonts w:asciiTheme="majorBidi" w:eastAsia="Times New Roman" w:hAnsiTheme="majorBidi" w:cstheme="majorBidi"/>
                <w:b/>
                <w:bCs/>
                <w:sz w:val="20"/>
                <w:szCs w:val="20"/>
              </w:rPr>
            </w:pPr>
            <w:r w:rsidRPr="00253BAA">
              <w:rPr>
                <w:rStyle w:val="Strong"/>
                <w:rFonts w:asciiTheme="majorBidi" w:eastAsia="Times New Roman" w:hAnsiTheme="majorBidi" w:cstheme="majorBidi"/>
                <w:sz w:val="20"/>
                <w:szCs w:val="20"/>
              </w:rPr>
              <w:t>Cas9</w:t>
            </w:r>
          </w:p>
        </w:tc>
        <w:tc>
          <w:tcPr>
            <w:tcW w:w="3116" w:type="dxa"/>
            <w:vAlign w:val="center"/>
          </w:tcPr>
          <w:p w14:paraId="1C5175AD" w14:textId="77777777" w:rsidR="00DB7A16" w:rsidRPr="00253BAA" w:rsidRDefault="00DB7A16" w:rsidP="00052C2B">
            <w:pPr>
              <w:bidi w:val="0"/>
              <w:spacing w:line="360" w:lineRule="auto"/>
              <w:jc w:val="center"/>
              <w:rPr>
                <w:rFonts w:asciiTheme="majorBidi" w:eastAsia="Times New Roman" w:hAnsiTheme="majorBidi" w:cstheme="majorBidi"/>
                <w:b/>
                <w:bCs/>
                <w:sz w:val="20"/>
                <w:szCs w:val="20"/>
              </w:rPr>
            </w:pPr>
            <w:r w:rsidRPr="00253BAA">
              <w:rPr>
                <w:rStyle w:val="Strong"/>
                <w:rFonts w:asciiTheme="majorBidi" w:eastAsia="Times New Roman" w:hAnsiTheme="majorBidi" w:cstheme="majorBidi"/>
                <w:sz w:val="20"/>
                <w:szCs w:val="20"/>
              </w:rPr>
              <w:t>ABE</w:t>
            </w:r>
          </w:p>
        </w:tc>
      </w:tr>
      <w:tr w:rsidR="00DB7A16" w14:paraId="36A3D9E4" w14:textId="77777777" w:rsidTr="00DB7A16">
        <w:trPr>
          <w:divId w:val="1971596611"/>
        </w:trPr>
        <w:tc>
          <w:tcPr>
            <w:tcW w:w="3115" w:type="dxa"/>
            <w:vAlign w:val="center"/>
          </w:tcPr>
          <w:p w14:paraId="61AC96FD"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Editing Mechanism</w:t>
            </w:r>
          </w:p>
        </w:tc>
        <w:tc>
          <w:tcPr>
            <w:tcW w:w="3116" w:type="dxa"/>
            <w:vAlign w:val="center"/>
          </w:tcPr>
          <w:p w14:paraId="35296484"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Creates double-strand breaks (DSBs) and relies on DNA repair pathways</w:t>
            </w:r>
          </w:p>
        </w:tc>
        <w:tc>
          <w:tcPr>
            <w:tcW w:w="3116" w:type="dxa"/>
            <w:vAlign w:val="center"/>
          </w:tcPr>
          <w:p w14:paraId="1001F86B"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Performs A→G base conversion without DSBs using deaminase and nCas9</w:t>
            </w:r>
          </w:p>
        </w:tc>
      </w:tr>
      <w:tr w:rsidR="00DB7A16" w14:paraId="20A2BBAA" w14:textId="77777777" w:rsidTr="00DB7A16">
        <w:trPr>
          <w:divId w:val="1971596611"/>
        </w:trPr>
        <w:tc>
          <w:tcPr>
            <w:tcW w:w="3115" w:type="dxa"/>
            <w:vAlign w:val="center"/>
          </w:tcPr>
          <w:p w14:paraId="46EAE26F"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DNA Damage (DSB)</w:t>
            </w:r>
          </w:p>
        </w:tc>
        <w:tc>
          <w:tcPr>
            <w:tcW w:w="3116" w:type="dxa"/>
            <w:vAlign w:val="center"/>
          </w:tcPr>
          <w:p w14:paraId="3BFD97AA"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Present; activates DNA damage response</w:t>
            </w:r>
          </w:p>
        </w:tc>
        <w:tc>
          <w:tcPr>
            <w:tcW w:w="3116" w:type="dxa"/>
            <w:vAlign w:val="center"/>
          </w:tcPr>
          <w:p w14:paraId="0AB01859"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Absent; editing occurs without DNA cleavage</w:t>
            </w:r>
          </w:p>
        </w:tc>
      </w:tr>
      <w:tr w:rsidR="00DB7A16" w14:paraId="2B09D596" w14:textId="77777777" w:rsidTr="00DB7A16">
        <w:trPr>
          <w:divId w:val="1971596611"/>
        </w:trPr>
        <w:tc>
          <w:tcPr>
            <w:tcW w:w="3115" w:type="dxa"/>
            <w:vAlign w:val="center"/>
          </w:tcPr>
          <w:p w14:paraId="1E063E7A"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p53 Activation</w:t>
            </w:r>
          </w:p>
        </w:tc>
        <w:tc>
          <w:tcPr>
            <w:tcW w:w="3116" w:type="dxa"/>
            <w:vAlign w:val="center"/>
          </w:tcPr>
          <w:p w14:paraId="7097A05D"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High; leads to cell-cycle arrest and apoptosis</w:t>
            </w:r>
          </w:p>
        </w:tc>
        <w:tc>
          <w:tcPr>
            <w:tcW w:w="3116" w:type="dxa"/>
            <w:vAlign w:val="center"/>
          </w:tcPr>
          <w:p w14:paraId="03F00C05"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Minimal; ATM/ATR–p53 axis not triggered</w:t>
            </w:r>
          </w:p>
        </w:tc>
      </w:tr>
      <w:tr w:rsidR="00DB7A16" w14:paraId="796462EC" w14:textId="77777777" w:rsidTr="00DB7A16">
        <w:trPr>
          <w:divId w:val="1971596611"/>
        </w:trPr>
        <w:tc>
          <w:tcPr>
            <w:tcW w:w="3115" w:type="dxa"/>
            <w:vAlign w:val="center"/>
          </w:tcPr>
          <w:p w14:paraId="3353B70E"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DDR Gene Expression</w:t>
            </w:r>
          </w:p>
        </w:tc>
        <w:tc>
          <w:tcPr>
            <w:tcW w:w="3116" w:type="dxa"/>
            <w:vAlign w:val="center"/>
          </w:tcPr>
          <w:p w14:paraId="2DA26C94"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Upregulated (e.g., CDKN1A, GADD45, BAX, PUMA)</w:t>
            </w:r>
          </w:p>
        </w:tc>
        <w:tc>
          <w:tcPr>
            <w:tcW w:w="3116" w:type="dxa"/>
            <w:vAlign w:val="center"/>
          </w:tcPr>
          <w:p w14:paraId="4B2C3119"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Stable or reduced expression</w:t>
            </w:r>
          </w:p>
        </w:tc>
      </w:tr>
      <w:tr w:rsidR="00DB7A16" w14:paraId="4738A564" w14:textId="77777777" w:rsidTr="00DB7A16">
        <w:trPr>
          <w:divId w:val="1971596611"/>
        </w:trPr>
        <w:tc>
          <w:tcPr>
            <w:tcW w:w="3115" w:type="dxa"/>
            <w:vAlign w:val="center"/>
          </w:tcPr>
          <w:p w14:paraId="1B33E595"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Cell Viability</w:t>
            </w:r>
          </w:p>
        </w:tc>
        <w:tc>
          <w:tcPr>
            <w:tcW w:w="3116" w:type="dxa"/>
            <w:vAlign w:val="center"/>
          </w:tcPr>
          <w:p w14:paraId="30FB43B2"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Reduced; prone to TP53-deficient clonal selection</w:t>
            </w:r>
          </w:p>
        </w:tc>
        <w:tc>
          <w:tcPr>
            <w:tcW w:w="3116" w:type="dxa"/>
            <w:vAlign w:val="center"/>
          </w:tcPr>
          <w:p w14:paraId="3260D0D7"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Preserved; sustained proliferation without clonal bias</w:t>
            </w:r>
          </w:p>
        </w:tc>
      </w:tr>
      <w:tr w:rsidR="00DB7A16" w14:paraId="26DF9665" w14:textId="77777777" w:rsidTr="00DB7A16">
        <w:trPr>
          <w:divId w:val="1971596611"/>
        </w:trPr>
        <w:tc>
          <w:tcPr>
            <w:tcW w:w="3115" w:type="dxa"/>
            <w:vAlign w:val="center"/>
          </w:tcPr>
          <w:p w14:paraId="632DCCA3"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Cytokine Production</w:t>
            </w:r>
          </w:p>
        </w:tc>
        <w:tc>
          <w:tcPr>
            <w:tcW w:w="3116" w:type="dxa"/>
            <w:vAlign w:val="center"/>
          </w:tcPr>
          <w:p w14:paraId="6F1064D9"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Variable; reduced under chronic stimulation</w:t>
            </w:r>
          </w:p>
        </w:tc>
        <w:tc>
          <w:tcPr>
            <w:tcW w:w="3116" w:type="dxa"/>
            <w:vAlign w:val="center"/>
          </w:tcPr>
          <w:p w14:paraId="62F9DEA7"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Consistent; robust IL-2 and IFN-γ secretion</w:t>
            </w:r>
          </w:p>
        </w:tc>
      </w:tr>
      <w:tr w:rsidR="00DB7A16" w14:paraId="0A61C710" w14:textId="77777777" w:rsidTr="00DB7A16">
        <w:trPr>
          <w:divId w:val="1971596611"/>
          <w:trHeight w:val="314"/>
        </w:trPr>
        <w:tc>
          <w:tcPr>
            <w:tcW w:w="3115" w:type="dxa"/>
            <w:vAlign w:val="center"/>
          </w:tcPr>
          <w:p w14:paraId="6A995F7B"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CAR Expression</w:t>
            </w:r>
          </w:p>
        </w:tc>
        <w:tc>
          <w:tcPr>
            <w:tcW w:w="3116" w:type="dxa"/>
            <w:vAlign w:val="center"/>
          </w:tcPr>
          <w:p w14:paraId="18F0D3C4"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Suppressed due to transcriptional and chromatin stress</w:t>
            </w:r>
          </w:p>
        </w:tc>
        <w:tc>
          <w:tcPr>
            <w:tcW w:w="3116" w:type="dxa"/>
            <w:vAlign w:val="center"/>
          </w:tcPr>
          <w:p w14:paraId="69F8D720"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Maintained under antigen stimulation</w:t>
            </w:r>
          </w:p>
        </w:tc>
      </w:tr>
      <w:tr w:rsidR="00DB7A16" w14:paraId="283C5953" w14:textId="77777777" w:rsidTr="00DB7A16">
        <w:trPr>
          <w:divId w:val="1971596611"/>
          <w:trHeight w:val="314"/>
        </w:trPr>
        <w:tc>
          <w:tcPr>
            <w:tcW w:w="3115" w:type="dxa"/>
            <w:vAlign w:val="center"/>
          </w:tcPr>
          <w:p w14:paraId="641E5B85"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Tumor Clearance (in vivo)</w:t>
            </w:r>
          </w:p>
        </w:tc>
        <w:tc>
          <w:tcPr>
            <w:tcW w:w="3116" w:type="dxa"/>
            <w:vAlign w:val="center"/>
          </w:tcPr>
          <w:p w14:paraId="7BA9EBAF"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Moderate; lower clearance and shorter survival in xenograft models</w:t>
            </w:r>
          </w:p>
        </w:tc>
        <w:tc>
          <w:tcPr>
            <w:tcW w:w="3116" w:type="dxa"/>
            <w:vAlign w:val="center"/>
          </w:tcPr>
          <w:p w14:paraId="40C387C5"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High; improved clearance and prolonged survival</w:t>
            </w:r>
          </w:p>
        </w:tc>
      </w:tr>
      <w:tr w:rsidR="00DB7A16" w14:paraId="2237357A" w14:textId="77777777" w:rsidTr="00DB7A16">
        <w:trPr>
          <w:divId w:val="1971596611"/>
          <w:trHeight w:val="314"/>
        </w:trPr>
        <w:tc>
          <w:tcPr>
            <w:tcW w:w="3115" w:type="dxa"/>
            <w:vAlign w:val="center"/>
          </w:tcPr>
          <w:p w14:paraId="2E3B86F1"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Expansion Rate (Allogeneic)</w:t>
            </w:r>
          </w:p>
        </w:tc>
        <w:tc>
          <w:tcPr>
            <w:tcW w:w="3116" w:type="dxa"/>
            <w:vAlign w:val="center"/>
          </w:tcPr>
          <w:p w14:paraId="3CB49176"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Limited; reduced yield in multiplex editing</w:t>
            </w:r>
          </w:p>
        </w:tc>
        <w:tc>
          <w:tcPr>
            <w:tcW w:w="3116" w:type="dxa"/>
            <w:vAlign w:val="center"/>
          </w:tcPr>
          <w:p w14:paraId="763D2166"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Improved; scalable expansion in multiplex editing</w:t>
            </w:r>
          </w:p>
        </w:tc>
      </w:tr>
      <w:tr w:rsidR="00DB7A16" w14:paraId="1C891621" w14:textId="77777777" w:rsidTr="00DB7A16">
        <w:trPr>
          <w:divId w:val="1971596611"/>
          <w:trHeight w:val="314"/>
        </w:trPr>
        <w:tc>
          <w:tcPr>
            <w:tcW w:w="3115" w:type="dxa"/>
            <w:vAlign w:val="center"/>
          </w:tcPr>
          <w:p w14:paraId="3B0B40B1"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Immunogenicity</w:t>
            </w:r>
          </w:p>
        </w:tc>
        <w:tc>
          <w:tcPr>
            <w:tcW w:w="3116" w:type="dxa"/>
            <w:vAlign w:val="center"/>
          </w:tcPr>
          <w:p w14:paraId="39BDA90F"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High; residual TRAC/B2M/CIITA/PVR activity</w:t>
            </w:r>
          </w:p>
        </w:tc>
        <w:tc>
          <w:tcPr>
            <w:tcW w:w="3116" w:type="dxa"/>
            <w:vAlign w:val="center"/>
          </w:tcPr>
          <w:p w14:paraId="3C0B675C"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Minimal; efficient silencing without DSBs</w:t>
            </w:r>
          </w:p>
        </w:tc>
      </w:tr>
      <w:tr w:rsidR="00DB7A16" w14:paraId="7ACE3E23" w14:textId="77777777" w:rsidTr="00DB7A16">
        <w:trPr>
          <w:divId w:val="1971596611"/>
          <w:trHeight w:val="314"/>
        </w:trPr>
        <w:tc>
          <w:tcPr>
            <w:tcW w:w="3115" w:type="dxa"/>
            <w:vAlign w:val="center"/>
          </w:tcPr>
          <w:p w14:paraId="5222C46F"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Chromosomal Translocation Risk</w:t>
            </w:r>
          </w:p>
        </w:tc>
        <w:tc>
          <w:tcPr>
            <w:tcW w:w="3116" w:type="dxa"/>
            <w:vAlign w:val="center"/>
          </w:tcPr>
          <w:p w14:paraId="1AD6A500"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Elevated, especially in multiplex editing</w:t>
            </w:r>
          </w:p>
        </w:tc>
        <w:tc>
          <w:tcPr>
            <w:tcW w:w="3116" w:type="dxa"/>
            <w:vAlign w:val="center"/>
          </w:tcPr>
          <w:p w14:paraId="3784C033"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Very low; no DSBs introduced</w:t>
            </w:r>
          </w:p>
        </w:tc>
      </w:tr>
      <w:tr w:rsidR="00DB7A16" w14:paraId="02F0EF3A" w14:textId="77777777" w:rsidTr="00DB7A16">
        <w:trPr>
          <w:divId w:val="1971596611"/>
          <w:trHeight w:val="314"/>
        </w:trPr>
        <w:tc>
          <w:tcPr>
            <w:tcW w:w="3115" w:type="dxa"/>
            <w:vAlign w:val="center"/>
          </w:tcPr>
          <w:p w14:paraId="5532CE35"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Off-Target Profiles</w:t>
            </w:r>
          </w:p>
        </w:tc>
        <w:tc>
          <w:tcPr>
            <w:tcW w:w="3116" w:type="dxa"/>
            <w:vAlign w:val="center"/>
          </w:tcPr>
          <w:p w14:paraId="191DAD16"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Cleavage-dependent off-targets and structural rearrangements</w:t>
            </w:r>
          </w:p>
        </w:tc>
        <w:tc>
          <w:tcPr>
            <w:tcW w:w="3116" w:type="dxa"/>
            <w:vAlign w:val="center"/>
          </w:tcPr>
          <w:p w14:paraId="2285D2B3"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Rare A→G conversions; minimized with high-fidelity TadA variants</w:t>
            </w:r>
          </w:p>
        </w:tc>
      </w:tr>
      <w:tr w:rsidR="00DB7A16" w14:paraId="747DD499" w14:textId="77777777" w:rsidTr="00DB7A16">
        <w:trPr>
          <w:divId w:val="1971596611"/>
          <w:trHeight w:val="314"/>
        </w:trPr>
        <w:tc>
          <w:tcPr>
            <w:tcW w:w="3115" w:type="dxa"/>
            <w:vAlign w:val="center"/>
          </w:tcPr>
          <w:p w14:paraId="70164182"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Epigenetic Stress</w:t>
            </w:r>
          </w:p>
        </w:tc>
        <w:tc>
          <w:tcPr>
            <w:tcW w:w="3116" w:type="dxa"/>
            <w:vAlign w:val="center"/>
          </w:tcPr>
          <w:p w14:paraId="20DC1656"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High; altered chromatin accessibility and enhancer landscapes</w:t>
            </w:r>
          </w:p>
        </w:tc>
        <w:tc>
          <w:tcPr>
            <w:tcW w:w="3116" w:type="dxa"/>
            <w:vAlign w:val="center"/>
          </w:tcPr>
          <w:p w14:paraId="3651A042"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Minimal; chromatin structure remains intact</w:t>
            </w:r>
          </w:p>
        </w:tc>
      </w:tr>
      <w:tr w:rsidR="00DB7A16" w14:paraId="58F46CD4" w14:textId="77777777" w:rsidTr="00DB7A16">
        <w:trPr>
          <w:divId w:val="1971596611"/>
          <w:trHeight w:val="314"/>
        </w:trPr>
        <w:tc>
          <w:tcPr>
            <w:tcW w:w="3115" w:type="dxa"/>
            <w:vAlign w:val="center"/>
          </w:tcPr>
          <w:p w14:paraId="1A51DC82" w14:textId="77777777" w:rsidR="00DB7A16" w:rsidRPr="00832840" w:rsidRDefault="00DB7A16" w:rsidP="00052C2B">
            <w:pPr>
              <w:bidi w:val="0"/>
              <w:spacing w:line="360" w:lineRule="auto"/>
              <w:jc w:val="center"/>
              <w:rPr>
                <w:rFonts w:asciiTheme="majorBidi" w:eastAsia="Times New Roman" w:hAnsiTheme="majorBidi" w:cstheme="majorBidi"/>
                <w:sz w:val="20"/>
                <w:szCs w:val="20"/>
              </w:rPr>
            </w:pPr>
            <w:r w:rsidRPr="00832840">
              <w:rPr>
                <w:rStyle w:val="Strong"/>
                <w:rFonts w:asciiTheme="majorBidi" w:eastAsia="Times New Roman" w:hAnsiTheme="majorBidi" w:cstheme="majorBidi"/>
                <w:sz w:val="20"/>
                <w:szCs w:val="20"/>
              </w:rPr>
              <w:t>TP53-deficient Clone Selection</w:t>
            </w:r>
          </w:p>
        </w:tc>
        <w:tc>
          <w:tcPr>
            <w:tcW w:w="3116" w:type="dxa"/>
            <w:vAlign w:val="center"/>
          </w:tcPr>
          <w:p w14:paraId="5185227E"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Elevated risk due to selective pressure</w:t>
            </w:r>
          </w:p>
        </w:tc>
        <w:tc>
          <w:tcPr>
            <w:tcW w:w="3116" w:type="dxa"/>
            <w:vAlign w:val="center"/>
          </w:tcPr>
          <w:p w14:paraId="7B892F9C" w14:textId="77777777" w:rsidR="00DB7A16" w:rsidRPr="00253BAA" w:rsidRDefault="00DB7A16" w:rsidP="00052C2B">
            <w:pPr>
              <w:bidi w:val="0"/>
              <w:spacing w:line="360" w:lineRule="auto"/>
              <w:jc w:val="center"/>
              <w:rPr>
                <w:rFonts w:asciiTheme="majorBidi" w:eastAsia="Times New Roman" w:hAnsiTheme="majorBidi" w:cstheme="majorBidi"/>
                <w:sz w:val="20"/>
                <w:szCs w:val="20"/>
              </w:rPr>
            </w:pPr>
            <w:r w:rsidRPr="00253BAA">
              <w:rPr>
                <w:rFonts w:asciiTheme="majorBidi" w:eastAsia="Times New Roman" w:hAnsiTheme="majorBidi" w:cstheme="majorBidi"/>
                <w:sz w:val="20"/>
                <w:szCs w:val="20"/>
              </w:rPr>
              <w:t>Low; reduced pressure, clonal stability maintained</w:t>
            </w:r>
          </w:p>
        </w:tc>
      </w:tr>
    </w:tbl>
    <w:p w14:paraId="5F17038F" w14:textId="77777777" w:rsidR="00A26298" w:rsidRPr="00253BAA" w:rsidRDefault="00A26298" w:rsidP="00A61596">
      <w:pPr>
        <w:pStyle w:val="NormalWeb"/>
        <w:spacing w:line="360" w:lineRule="auto"/>
        <w:jc w:val="both"/>
        <w:divId w:val="1971596611"/>
        <w:rPr>
          <w:rFonts w:asciiTheme="majorBidi" w:hAnsiTheme="majorBidi" w:cstheme="majorBidi"/>
          <w:rtl/>
        </w:rPr>
      </w:pPr>
    </w:p>
    <w:p w14:paraId="5DF3E46A" w14:textId="0F3EBD25" w:rsidR="00FD0B3D" w:rsidRPr="00253BAA" w:rsidRDefault="008367B9" w:rsidP="00A61596">
      <w:pPr>
        <w:pStyle w:val="Heading3"/>
        <w:bidi w:val="0"/>
        <w:spacing w:line="360" w:lineRule="auto"/>
        <w:jc w:val="both"/>
        <w:divId w:val="308023904"/>
        <w:rPr>
          <w:rFonts w:asciiTheme="majorBidi" w:eastAsia="Times New Roman" w:hAnsiTheme="majorBidi"/>
          <w:color w:val="000000" w:themeColor="text1"/>
          <w:kern w:val="0"/>
          <w14:ligatures w14:val="none"/>
        </w:rPr>
      </w:pPr>
      <w:r>
        <w:rPr>
          <w:rStyle w:val="Strong"/>
          <w:rFonts w:asciiTheme="majorBidi" w:eastAsia="Times New Roman" w:hAnsiTheme="majorBidi"/>
          <w:color w:val="000000" w:themeColor="text1"/>
        </w:rPr>
        <w:lastRenderedPageBreak/>
        <w:t>7</w:t>
      </w:r>
      <w:r w:rsidR="005E05E1" w:rsidRPr="00253BAA">
        <w:rPr>
          <w:rStyle w:val="Strong"/>
          <w:rFonts w:asciiTheme="majorBidi" w:eastAsia="Times New Roman" w:hAnsiTheme="majorBidi"/>
          <w:color w:val="000000" w:themeColor="text1"/>
        </w:rPr>
        <w:t xml:space="preserve">. </w:t>
      </w:r>
      <w:r w:rsidR="00FD0B3D" w:rsidRPr="00253BAA">
        <w:rPr>
          <w:rStyle w:val="Strong"/>
          <w:rFonts w:asciiTheme="majorBidi" w:eastAsia="Times New Roman" w:hAnsiTheme="majorBidi"/>
          <w:color w:val="000000" w:themeColor="text1"/>
        </w:rPr>
        <w:t>Delivery Systems and Safety Considerations</w:t>
      </w:r>
    </w:p>
    <w:p w14:paraId="2732E63D" w14:textId="0F0FA141" w:rsidR="00A61596" w:rsidRPr="00253BAA" w:rsidRDefault="008367B9" w:rsidP="00A61596">
      <w:pPr>
        <w:pStyle w:val="NormalWeb"/>
        <w:spacing w:line="360" w:lineRule="auto"/>
        <w:contextualSpacing/>
        <w:jc w:val="both"/>
        <w:divId w:val="308023904"/>
        <w:rPr>
          <w:rFonts w:asciiTheme="majorBidi" w:hAnsiTheme="majorBidi" w:cstheme="majorBidi"/>
        </w:rPr>
      </w:pPr>
      <w:r>
        <w:rPr>
          <w:rStyle w:val="Strong"/>
          <w:rFonts w:asciiTheme="majorBidi" w:hAnsiTheme="majorBidi" w:cstheme="majorBidi"/>
        </w:rPr>
        <w:t>7</w:t>
      </w:r>
      <w:r w:rsidR="005E05E1" w:rsidRPr="00253BAA">
        <w:rPr>
          <w:rStyle w:val="Strong"/>
          <w:rFonts w:asciiTheme="majorBidi" w:hAnsiTheme="majorBidi" w:cstheme="majorBidi"/>
        </w:rPr>
        <w:t xml:space="preserve">.1. </w:t>
      </w:r>
      <w:r w:rsidR="00FD0B3D" w:rsidRPr="00253BAA">
        <w:rPr>
          <w:rStyle w:val="Strong"/>
          <w:rFonts w:asciiTheme="majorBidi" w:hAnsiTheme="majorBidi" w:cstheme="majorBidi"/>
        </w:rPr>
        <w:t>Challenges in Delivering ABE: LNP, AAV, and VLP Platforms</w:t>
      </w:r>
      <w:r w:rsidR="00FD0B3D" w:rsidRPr="00253BAA">
        <w:rPr>
          <w:rFonts w:asciiTheme="majorBidi" w:hAnsiTheme="majorBidi" w:cstheme="majorBidi"/>
        </w:rPr>
        <w:t xml:space="preserve"> </w:t>
      </w:r>
    </w:p>
    <w:p w14:paraId="708E9F68" w14:textId="6700DD33" w:rsidR="00FD0B3D" w:rsidRPr="00253BAA" w:rsidRDefault="00FD0B3D" w:rsidP="00A61596">
      <w:pPr>
        <w:pStyle w:val="NormalWeb"/>
        <w:spacing w:line="360" w:lineRule="auto"/>
        <w:jc w:val="both"/>
        <w:divId w:val="308023904"/>
        <w:rPr>
          <w:rFonts w:asciiTheme="majorBidi" w:hAnsiTheme="majorBidi" w:cstheme="majorBidi"/>
        </w:rPr>
      </w:pPr>
      <w:r w:rsidRPr="00253BAA">
        <w:rPr>
          <w:rFonts w:asciiTheme="majorBidi" w:hAnsiTheme="majorBidi" w:cstheme="majorBidi"/>
        </w:rPr>
        <w:t xml:space="preserve">Efficient delivery of adenine base editors (ABEs) into primary T cells remains a critical challenge for clinical translation. Traditional viral vectors such as adeno-associated virus (AAV) offer high transduction efficiency but pose risks of genomic integration and immunogenicity, especially in multiplex editing contexts. Lipid nanoparticles (LNPs) provide a non-viral alternative with transient expression and reduced immunogenicity, but their uptake in T cells is limited without surface modification. Virus-like particles (VLPs), engineered to package Cas9 or base editor ribonucleoproteins (RNPs), have emerged as a promising platform, enabling transient delivery with minimal genomic footprint and improved safety profiles. Recent innovations such as ENVLPE (engineered nucleocytosolic vehicles) further enhance RNP stability and delivery </w:t>
      </w:r>
      <w:r w:rsidR="00E27898" w:rsidRPr="00253BAA">
        <w:rPr>
          <w:rFonts w:asciiTheme="majorBidi" w:hAnsiTheme="majorBidi" w:cstheme="majorBidi"/>
        </w:rPr>
        <w:t>efficiency [48-52].</w:t>
      </w:r>
    </w:p>
    <w:p w14:paraId="53002010" w14:textId="7709A0B6" w:rsidR="00A61596" w:rsidRPr="00253BAA" w:rsidRDefault="006D450B" w:rsidP="00A61596">
      <w:pPr>
        <w:pStyle w:val="NormalWeb"/>
        <w:spacing w:line="360" w:lineRule="auto"/>
        <w:contextualSpacing/>
        <w:jc w:val="both"/>
        <w:divId w:val="308023904"/>
        <w:rPr>
          <w:rFonts w:asciiTheme="majorBidi" w:hAnsiTheme="majorBidi" w:cstheme="majorBidi"/>
        </w:rPr>
      </w:pPr>
      <w:r>
        <w:rPr>
          <w:rStyle w:val="Strong"/>
          <w:rFonts w:asciiTheme="majorBidi" w:hAnsiTheme="majorBidi" w:cstheme="majorBidi"/>
        </w:rPr>
        <w:t>7</w:t>
      </w:r>
      <w:r w:rsidR="005E05E1" w:rsidRPr="00253BAA">
        <w:rPr>
          <w:rStyle w:val="Strong"/>
          <w:rFonts w:asciiTheme="majorBidi" w:hAnsiTheme="majorBidi" w:cstheme="majorBidi"/>
        </w:rPr>
        <w:t xml:space="preserve">.2. </w:t>
      </w:r>
      <w:r w:rsidR="00FD0B3D" w:rsidRPr="00253BAA">
        <w:rPr>
          <w:rStyle w:val="Strong"/>
          <w:rFonts w:asciiTheme="majorBidi" w:hAnsiTheme="majorBidi" w:cstheme="majorBidi"/>
        </w:rPr>
        <w:t>Genomic Safety and Structural Integrity</w:t>
      </w:r>
      <w:r w:rsidR="00FD0B3D" w:rsidRPr="00253BAA">
        <w:rPr>
          <w:rFonts w:asciiTheme="majorBidi" w:hAnsiTheme="majorBidi" w:cstheme="majorBidi"/>
        </w:rPr>
        <w:t xml:space="preserve"> </w:t>
      </w:r>
    </w:p>
    <w:p w14:paraId="6CB56660" w14:textId="4A199CA7" w:rsidR="00222350" w:rsidRPr="00253BAA" w:rsidRDefault="00513959" w:rsidP="00A61596">
      <w:pPr>
        <w:pStyle w:val="NormalWeb"/>
        <w:spacing w:line="360" w:lineRule="auto"/>
        <w:contextualSpacing/>
        <w:jc w:val="both"/>
        <w:divId w:val="308023904"/>
        <w:rPr>
          <w:rFonts w:asciiTheme="majorBidi" w:eastAsia="MS Mincho" w:hAnsiTheme="majorBidi" w:cstheme="majorBidi"/>
        </w:rPr>
      </w:pPr>
      <w:r w:rsidRPr="00253BAA">
        <w:rPr>
          <w:rFonts w:asciiTheme="majorBidi" w:hAnsiTheme="majorBidi" w:cstheme="majorBidi"/>
        </w:rPr>
        <w:t>Although ABE reduces DNA damage compared to nuclease-based systems, concerns remain regarding unintended structural variations</w:t>
      </w:r>
      <w:r w:rsidR="00FD0B3D" w:rsidRPr="00253BAA">
        <w:rPr>
          <w:rFonts w:asciiTheme="majorBidi" w:hAnsiTheme="majorBidi" w:cstheme="majorBidi"/>
        </w:rPr>
        <w:t xml:space="preserve"> and off-target base conversions. Whole-genome sequencing and long-read analysis have identified rare large deletions and rearrangements in ABE-edited cells, particularly when delivery systems induce prolonged editor expression. Additionally, RNA off-target editing by TadA variants has been observed, necessitating rigorous transcriptomic screening. To ensure genomic safety, quality control pipelines now include GUIDE-seq, CIRCLE-seq, and single-cell DNA/RNA profiling to detect off-target events and structural anomalies</w:t>
      </w:r>
      <w:r w:rsidR="00E27898" w:rsidRPr="00253BAA">
        <w:rPr>
          <w:rFonts w:asciiTheme="majorBidi" w:eastAsia="MS Mincho" w:hAnsiTheme="majorBidi" w:cstheme="majorBidi"/>
        </w:rPr>
        <w:t xml:space="preserve"> [</w:t>
      </w:r>
      <w:r w:rsidR="00FD0B3D" w:rsidRPr="00253BAA">
        <w:rPr>
          <w:rFonts w:asciiTheme="majorBidi" w:hAnsiTheme="majorBidi" w:cstheme="majorBidi"/>
        </w:rPr>
        <w:t>53,54</w:t>
      </w:r>
      <w:r w:rsidR="00471611" w:rsidRPr="00253BAA">
        <w:rPr>
          <w:rFonts w:asciiTheme="majorBidi" w:eastAsia="MS Mincho" w:hAnsiTheme="majorBidi" w:cstheme="majorBidi"/>
        </w:rPr>
        <w:t>].</w:t>
      </w:r>
    </w:p>
    <w:p w14:paraId="539B811E" w14:textId="77777777" w:rsidR="00A61596" w:rsidRPr="00253BAA" w:rsidRDefault="00A61596" w:rsidP="00A61596">
      <w:pPr>
        <w:pStyle w:val="NormalWeb"/>
        <w:spacing w:line="360" w:lineRule="auto"/>
        <w:contextualSpacing/>
        <w:jc w:val="both"/>
        <w:divId w:val="308023904"/>
        <w:rPr>
          <w:rFonts w:asciiTheme="majorBidi" w:hAnsiTheme="majorBidi" w:cstheme="majorBidi"/>
        </w:rPr>
      </w:pPr>
    </w:p>
    <w:p w14:paraId="36E0F990" w14:textId="62D3404C" w:rsidR="00A61596" w:rsidRPr="00253BAA" w:rsidRDefault="006D450B" w:rsidP="00A61596">
      <w:pPr>
        <w:pStyle w:val="NormalWeb"/>
        <w:spacing w:line="360" w:lineRule="auto"/>
        <w:contextualSpacing/>
        <w:jc w:val="both"/>
        <w:divId w:val="308023904"/>
        <w:rPr>
          <w:rFonts w:asciiTheme="majorBidi" w:hAnsiTheme="majorBidi" w:cstheme="majorBidi"/>
        </w:rPr>
      </w:pPr>
      <w:r>
        <w:rPr>
          <w:rStyle w:val="Strong"/>
          <w:rFonts w:asciiTheme="majorBidi" w:hAnsiTheme="majorBidi" w:cstheme="majorBidi"/>
        </w:rPr>
        <w:t>7</w:t>
      </w:r>
      <w:r w:rsidR="005E05E1" w:rsidRPr="00253BAA">
        <w:rPr>
          <w:rStyle w:val="Strong"/>
          <w:rFonts w:asciiTheme="majorBidi" w:hAnsiTheme="majorBidi" w:cstheme="majorBidi"/>
        </w:rPr>
        <w:t xml:space="preserve">.3. </w:t>
      </w:r>
      <w:r w:rsidR="00FD0B3D" w:rsidRPr="00253BAA">
        <w:rPr>
          <w:rStyle w:val="Strong"/>
          <w:rFonts w:asciiTheme="majorBidi" w:hAnsiTheme="majorBidi" w:cstheme="majorBidi"/>
        </w:rPr>
        <w:t>Strategies to Minimize Side Effects and Enhance Precision</w:t>
      </w:r>
      <w:r w:rsidR="00FD0B3D" w:rsidRPr="00253BAA">
        <w:rPr>
          <w:rFonts w:asciiTheme="majorBidi" w:hAnsiTheme="majorBidi" w:cstheme="majorBidi"/>
        </w:rPr>
        <w:t xml:space="preserve"> </w:t>
      </w:r>
    </w:p>
    <w:p w14:paraId="023BD15B" w14:textId="0A190F88" w:rsidR="00DB7A16" w:rsidRDefault="00FD0B3D" w:rsidP="00DB7A16">
      <w:pPr>
        <w:pStyle w:val="NormalWeb"/>
        <w:spacing w:line="360" w:lineRule="auto"/>
        <w:contextualSpacing/>
        <w:jc w:val="both"/>
        <w:divId w:val="308023904"/>
        <w:rPr>
          <w:rFonts w:asciiTheme="majorBidi" w:hAnsiTheme="majorBidi" w:cstheme="majorBidi"/>
        </w:rPr>
      </w:pPr>
      <w:r w:rsidRPr="00253BAA">
        <w:rPr>
          <w:rFonts w:asciiTheme="majorBidi" w:hAnsiTheme="majorBidi" w:cstheme="majorBidi"/>
        </w:rPr>
        <w:t>To mitigate off-target activity and structural risks, several engineering strategies have been implemented. These include the use of high-fidelity TadA variants (e.g., TadA-8e), optimized sgRNA scaffolds, and transient delivery formats such as mRNA or RNPs. Split-intein systems allow temporal control of editor assembly, reducing exposure time and minimizing genotoxic stress. Moreover, computational prediction tools (e.g., BE-Hive, DeepBE) assist in guide RNA design to avoid bystander editing. These advances collectively enhance the precision and safety of ABE-based CAR-T cell engineering, supporting its progression toward clinical application</w:t>
      </w:r>
      <w:r w:rsidR="00471611" w:rsidRPr="00253BAA">
        <w:rPr>
          <w:rFonts w:asciiTheme="majorBidi" w:eastAsia="MS Mincho" w:hAnsiTheme="majorBidi" w:cstheme="majorBidi"/>
        </w:rPr>
        <w:t xml:space="preserve"> [</w:t>
      </w:r>
      <w:r w:rsidRPr="00253BAA">
        <w:rPr>
          <w:rFonts w:asciiTheme="majorBidi" w:hAnsiTheme="majorBidi" w:cstheme="majorBidi"/>
        </w:rPr>
        <w:t>56,57</w:t>
      </w:r>
      <w:r w:rsidR="00A34A26" w:rsidRPr="00253BAA">
        <w:rPr>
          <w:rFonts w:asciiTheme="majorBidi" w:hAnsiTheme="majorBidi" w:cstheme="majorBidi"/>
        </w:rPr>
        <w:t>].</w:t>
      </w:r>
    </w:p>
    <w:p w14:paraId="7E757DB0" w14:textId="77777777" w:rsidR="00DB7A16" w:rsidRPr="00DB7A16" w:rsidRDefault="00DB7A16" w:rsidP="00DB7A16">
      <w:pPr>
        <w:pStyle w:val="NormalWeb"/>
        <w:spacing w:line="360" w:lineRule="auto"/>
        <w:contextualSpacing/>
        <w:jc w:val="both"/>
        <w:divId w:val="308023904"/>
        <w:rPr>
          <w:rStyle w:val="Strong"/>
          <w:rFonts w:asciiTheme="majorBidi" w:hAnsiTheme="majorBidi" w:cstheme="majorBidi"/>
          <w:b w:val="0"/>
          <w:bCs w:val="0"/>
        </w:rPr>
      </w:pPr>
    </w:p>
    <w:p w14:paraId="49D6564F" w14:textId="52BB9B26" w:rsidR="00D64702" w:rsidRPr="00253BAA" w:rsidRDefault="006D450B" w:rsidP="00DB7A16">
      <w:pPr>
        <w:pStyle w:val="Heading3"/>
        <w:bidi w:val="0"/>
        <w:spacing w:line="360" w:lineRule="auto"/>
        <w:jc w:val="both"/>
        <w:divId w:val="562713283"/>
        <w:rPr>
          <w:rFonts w:asciiTheme="majorBidi" w:eastAsia="Times New Roman" w:hAnsiTheme="majorBidi"/>
          <w:color w:val="000000" w:themeColor="text1"/>
          <w:kern w:val="0"/>
          <w:sz w:val="27"/>
          <w:szCs w:val="27"/>
          <w14:ligatures w14:val="none"/>
        </w:rPr>
      </w:pPr>
      <w:r>
        <w:rPr>
          <w:rStyle w:val="Strong"/>
          <w:rFonts w:asciiTheme="majorBidi" w:eastAsia="Times New Roman" w:hAnsiTheme="majorBidi"/>
          <w:color w:val="000000" w:themeColor="text1"/>
        </w:rPr>
        <w:lastRenderedPageBreak/>
        <w:t>8</w:t>
      </w:r>
      <w:r w:rsidR="005E05E1" w:rsidRPr="00253BAA">
        <w:rPr>
          <w:rStyle w:val="Strong"/>
          <w:rFonts w:asciiTheme="majorBidi" w:eastAsia="Times New Roman" w:hAnsiTheme="majorBidi"/>
          <w:color w:val="000000" w:themeColor="text1"/>
        </w:rPr>
        <w:t xml:space="preserve">. </w:t>
      </w:r>
      <w:r w:rsidR="00D64702" w:rsidRPr="00253BAA">
        <w:rPr>
          <w:rStyle w:val="Strong"/>
          <w:rFonts w:asciiTheme="majorBidi" w:eastAsia="Times New Roman" w:hAnsiTheme="majorBidi"/>
          <w:color w:val="000000" w:themeColor="text1"/>
        </w:rPr>
        <w:t>Future Perspectives and Clinical Translation</w:t>
      </w:r>
    </w:p>
    <w:p w14:paraId="68A4B50A" w14:textId="0548BEC2" w:rsidR="003613ED" w:rsidRPr="00253BAA" w:rsidRDefault="006D450B" w:rsidP="00A61596">
      <w:pPr>
        <w:pStyle w:val="NormalWeb"/>
        <w:spacing w:line="360" w:lineRule="auto"/>
        <w:contextualSpacing/>
        <w:jc w:val="both"/>
        <w:divId w:val="562713283"/>
        <w:rPr>
          <w:rFonts w:asciiTheme="majorBidi" w:hAnsiTheme="majorBidi" w:cstheme="majorBidi"/>
        </w:rPr>
      </w:pPr>
      <w:r>
        <w:rPr>
          <w:rStyle w:val="Strong"/>
          <w:rFonts w:asciiTheme="majorBidi" w:hAnsiTheme="majorBidi" w:cstheme="majorBidi"/>
        </w:rPr>
        <w:t>8</w:t>
      </w:r>
      <w:r w:rsidR="005E05E1" w:rsidRPr="00253BAA">
        <w:rPr>
          <w:rStyle w:val="Strong"/>
          <w:rFonts w:asciiTheme="majorBidi" w:hAnsiTheme="majorBidi" w:cstheme="majorBidi"/>
        </w:rPr>
        <w:t>.1.</w:t>
      </w:r>
      <w:r w:rsidR="00D64702" w:rsidRPr="00253BAA">
        <w:rPr>
          <w:rStyle w:val="Strong"/>
          <w:rFonts w:asciiTheme="majorBidi" w:hAnsiTheme="majorBidi" w:cstheme="majorBidi"/>
        </w:rPr>
        <w:t xml:space="preserve"> Optimizing ABE for Next-Generation Immunotherapy</w:t>
      </w:r>
      <w:r w:rsidR="00D64702" w:rsidRPr="00253BAA">
        <w:rPr>
          <w:rFonts w:asciiTheme="majorBidi" w:hAnsiTheme="majorBidi" w:cstheme="majorBidi"/>
        </w:rPr>
        <w:t xml:space="preserve"> </w:t>
      </w:r>
    </w:p>
    <w:p w14:paraId="3EBA0072" w14:textId="0710DE4E" w:rsidR="00D64702" w:rsidRPr="00253BAA" w:rsidRDefault="00D64702" w:rsidP="00A61596">
      <w:pPr>
        <w:pStyle w:val="NormalWeb"/>
        <w:spacing w:line="360" w:lineRule="auto"/>
        <w:contextualSpacing/>
        <w:jc w:val="both"/>
        <w:divId w:val="562713283"/>
        <w:rPr>
          <w:rFonts w:asciiTheme="majorBidi" w:hAnsiTheme="majorBidi" w:cstheme="majorBidi"/>
        </w:rPr>
      </w:pPr>
      <w:r w:rsidRPr="00253BAA">
        <w:rPr>
          <w:rFonts w:asciiTheme="majorBidi" w:hAnsiTheme="majorBidi" w:cstheme="majorBidi"/>
        </w:rPr>
        <w:t>As base editing technologies mature, the next frontier lies in refining ABE platforms for enhanced precision, scalability, and therapeutic breadth. Engineering efforts are underway to develop compact, high-fidelity ABE variants with reduced off-target activity and improved delivery compatibility. Integration with programmable delivery systems—such as modular VLPs or cell-specific LNPs—could enable tissue-targeted editing and minimize systemic exposure. Moreover, the development of inducible or self-limiting ABE constructs may allow temporal control over editing activity, reducing genotoxic stress and improving safety profiles</w:t>
      </w:r>
      <w:r w:rsidR="005E05E1" w:rsidRPr="00253BAA">
        <w:rPr>
          <w:rFonts w:asciiTheme="majorBidi" w:eastAsia="MS Mincho" w:hAnsiTheme="majorBidi" w:cstheme="majorBidi"/>
        </w:rPr>
        <w:t xml:space="preserve"> [</w:t>
      </w:r>
      <w:r w:rsidRPr="00253BAA">
        <w:rPr>
          <w:rFonts w:asciiTheme="majorBidi" w:hAnsiTheme="majorBidi" w:cstheme="majorBidi"/>
        </w:rPr>
        <w:t>58,59</w:t>
      </w:r>
      <w:r w:rsidR="005E05E1" w:rsidRPr="00253BAA">
        <w:rPr>
          <w:rFonts w:asciiTheme="majorBidi" w:hAnsiTheme="majorBidi" w:cstheme="majorBidi"/>
        </w:rPr>
        <w:t>]</w:t>
      </w:r>
      <w:r w:rsidR="003613ED" w:rsidRPr="00253BAA">
        <w:rPr>
          <w:rFonts w:asciiTheme="majorBidi" w:hAnsiTheme="majorBidi" w:cstheme="majorBidi"/>
        </w:rPr>
        <w:t>.</w:t>
      </w:r>
    </w:p>
    <w:p w14:paraId="2D2D0312" w14:textId="77777777" w:rsidR="003613ED" w:rsidRPr="00253BAA" w:rsidRDefault="003613ED" w:rsidP="00A61596">
      <w:pPr>
        <w:pStyle w:val="NormalWeb"/>
        <w:spacing w:line="360" w:lineRule="auto"/>
        <w:contextualSpacing/>
        <w:jc w:val="both"/>
        <w:divId w:val="562713283"/>
        <w:rPr>
          <w:rFonts w:asciiTheme="majorBidi" w:hAnsiTheme="majorBidi" w:cstheme="majorBidi"/>
        </w:rPr>
      </w:pPr>
    </w:p>
    <w:p w14:paraId="2BDE9707" w14:textId="494CBDD2" w:rsidR="003613ED" w:rsidRPr="00253BAA" w:rsidRDefault="006D450B" w:rsidP="00A61596">
      <w:pPr>
        <w:pStyle w:val="NormalWeb"/>
        <w:spacing w:line="360" w:lineRule="auto"/>
        <w:contextualSpacing/>
        <w:jc w:val="both"/>
        <w:divId w:val="562713283"/>
        <w:rPr>
          <w:rFonts w:asciiTheme="majorBidi" w:hAnsiTheme="majorBidi" w:cstheme="majorBidi"/>
        </w:rPr>
      </w:pPr>
      <w:r>
        <w:rPr>
          <w:rStyle w:val="Strong"/>
          <w:rFonts w:asciiTheme="majorBidi" w:hAnsiTheme="majorBidi" w:cstheme="majorBidi"/>
        </w:rPr>
        <w:t>8</w:t>
      </w:r>
      <w:r w:rsidR="005E05E1" w:rsidRPr="00253BAA">
        <w:rPr>
          <w:rStyle w:val="Strong"/>
          <w:rFonts w:asciiTheme="majorBidi" w:hAnsiTheme="majorBidi" w:cstheme="majorBidi"/>
        </w:rPr>
        <w:t>.2. R</w:t>
      </w:r>
      <w:r w:rsidR="00D64702" w:rsidRPr="00253BAA">
        <w:rPr>
          <w:rStyle w:val="Strong"/>
          <w:rFonts w:asciiTheme="majorBidi" w:hAnsiTheme="majorBidi" w:cstheme="majorBidi"/>
        </w:rPr>
        <w:t>egulatory Standards, Long-Term Monitoring, and Genomic Surveillance</w:t>
      </w:r>
      <w:r w:rsidR="00D64702" w:rsidRPr="00253BAA">
        <w:rPr>
          <w:rFonts w:asciiTheme="majorBidi" w:hAnsiTheme="majorBidi" w:cstheme="majorBidi"/>
        </w:rPr>
        <w:t xml:space="preserve"> </w:t>
      </w:r>
    </w:p>
    <w:p w14:paraId="00AFF6E6" w14:textId="604CA66E" w:rsidR="00D64702" w:rsidRPr="00253BAA" w:rsidRDefault="00D64702" w:rsidP="00A61596">
      <w:pPr>
        <w:pStyle w:val="NormalWeb"/>
        <w:spacing w:line="360" w:lineRule="auto"/>
        <w:contextualSpacing/>
        <w:jc w:val="both"/>
        <w:divId w:val="562713283"/>
        <w:rPr>
          <w:rFonts w:asciiTheme="majorBidi" w:hAnsiTheme="majorBidi" w:cstheme="majorBidi"/>
        </w:rPr>
      </w:pPr>
      <w:r w:rsidRPr="00253BAA">
        <w:rPr>
          <w:rFonts w:asciiTheme="majorBidi" w:hAnsiTheme="majorBidi" w:cstheme="majorBidi"/>
        </w:rPr>
        <w:t xml:space="preserve">Clinical translation of ABE-edited CAR-T therapies will require robust regulatory frameworks that address unique safety concerns of base editing. </w:t>
      </w:r>
      <w:r w:rsidR="0026229B" w:rsidRPr="00253BAA">
        <w:rPr>
          <w:rFonts w:asciiTheme="majorBidi" w:hAnsiTheme="majorBidi" w:cstheme="majorBidi"/>
        </w:rPr>
        <w:t>Unlike nuclease-based platforms, ABEs introduce subtle nucleotide changes that require long-term monitoring</w:t>
      </w:r>
      <w:r w:rsidR="000D5C77" w:rsidRPr="00253BAA">
        <w:rPr>
          <w:rFonts w:asciiTheme="majorBidi" w:hAnsiTheme="majorBidi" w:cstheme="majorBidi"/>
        </w:rPr>
        <w:t>.</w:t>
      </w:r>
      <w:r w:rsidRPr="00253BAA">
        <w:rPr>
          <w:rFonts w:asciiTheme="majorBidi" w:hAnsiTheme="majorBidi" w:cstheme="majorBidi"/>
        </w:rPr>
        <w:t xml:space="preserve"> Regulatory agencies must establish guidelines for off-target profiling, transcriptomic surveillance, and clonal tracking. Longitudinal studies assessing persistence, immunogenicity, and oncogenic risk are essential to validate the safety of ABE-based products. Emerging genomic surveillance tools—such as single-cell multi-omics and long-read sequencing—will play a pivotal role in post-infusion monitoring</w:t>
      </w:r>
      <w:r w:rsidR="005E05E1" w:rsidRPr="00253BAA">
        <w:rPr>
          <w:rFonts w:asciiTheme="majorBidi" w:eastAsia="MS Mincho" w:hAnsiTheme="majorBidi" w:cstheme="majorBidi"/>
        </w:rPr>
        <w:t xml:space="preserve"> </w:t>
      </w:r>
      <w:r w:rsidR="004A709D" w:rsidRPr="00253BAA">
        <w:rPr>
          <w:rFonts w:asciiTheme="majorBidi" w:eastAsia="MS Mincho" w:hAnsiTheme="majorBidi" w:cstheme="majorBidi"/>
        </w:rPr>
        <w:t>[</w:t>
      </w:r>
      <w:r w:rsidRPr="00253BAA">
        <w:rPr>
          <w:rFonts w:asciiTheme="majorBidi" w:hAnsiTheme="majorBidi" w:cstheme="majorBidi"/>
        </w:rPr>
        <w:t>60,61</w:t>
      </w:r>
      <w:r w:rsidR="004A709D" w:rsidRPr="00253BAA">
        <w:rPr>
          <w:rFonts w:asciiTheme="majorBidi" w:hAnsiTheme="majorBidi" w:cstheme="majorBidi"/>
        </w:rPr>
        <w:t>]</w:t>
      </w:r>
      <w:r w:rsidR="003613ED" w:rsidRPr="00253BAA">
        <w:rPr>
          <w:rFonts w:asciiTheme="majorBidi" w:hAnsiTheme="majorBidi" w:cstheme="majorBidi"/>
        </w:rPr>
        <w:t>.</w:t>
      </w:r>
    </w:p>
    <w:p w14:paraId="7799BC73" w14:textId="77777777" w:rsidR="003613ED" w:rsidRPr="00253BAA" w:rsidRDefault="003613ED" w:rsidP="00A61596">
      <w:pPr>
        <w:pStyle w:val="NormalWeb"/>
        <w:spacing w:line="360" w:lineRule="auto"/>
        <w:contextualSpacing/>
        <w:jc w:val="both"/>
        <w:divId w:val="562713283"/>
        <w:rPr>
          <w:rFonts w:asciiTheme="majorBidi" w:hAnsiTheme="majorBidi" w:cstheme="majorBidi"/>
        </w:rPr>
      </w:pPr>
    </w:p>
    <w:p w14:paraId="1AD597F0" w14:textId="46A24CD7" w:rsidR="003613ED" w:rsidRPr="00253BAA" w:rsidRDefault="006D450B" w:rsidP="00A61596">
      <w:pPr>
        <w:pStyle w:val="NormalWeb"/>
        <w:spacing w:line="360" w:lineRule="auto"/>
        <w:contextualSpacing/>
        <w:jc w:val="both"/>
        <w:divId w:val="562713283"/>
        <w:rPr>
          <w:rFonts w:asciiTheme="majorBidi" w:hAnsiTheme="majorBidi" w:cstheme="majorBidi"/>
        </w:rPr>
      </w:pPr>
      <w:r>
        <w:rPr>
          <w:rStyle w:val="Strong"/>
          <w:rFonts w:asciiTheme="majorBidi" w:hAnsiTheme="majorBidi" w:cstheme="majorBidi"/>
        </w:rPr>
        <w:t>8</w:t>
      </w:r>
      <w:r w:rsidR="005E05E1" w:rsidRPr="00253BAA">
        <w:rPr>
          <w:rStyle w:val="Strong"/>
          <w:rFonts w:asciiTheme="majorBidi" w:hAnsiTheme="majorBidi" w:cstheme="majorBidi"/>
        </w:rPr>
        <w:t>.3. S</w:t>
      </w:r>
      <w:r w:rsidR="00D64702" w:rsidRPr="00253BAA">
        <w:rPr>
          <w:rStyle w:val="Strong"/>
          <w:rFonts w:asciiTheme="majorBidi" w:hAnsiTheme="majorBidi" w:cstheme="majorBidi"/>
        </w:rPr>
        <w:t>ynergistic Integration with Emerging Platforms (Cas13, CRISPRa/i)</w:t>
      </w:r>
      <w:r w:rsidR="00D64702" w:rsidRPr="00253BAA">
        <w:rPr>
          <w:rFonts w:asciiTheme="majorBidi" w:hAnsiTheme="majorBidi" w:cstheme="majorBidi"/>
        </w:rPr>
        <w:t xml:space="preserve"> </w:t>
      </w:r>
    </w:p>
    <w:p w14:paraId="5F7E6516" w14:textId="5FDF7698" w:rsidR="001A10BA" w:rsidRPr="00253BAA" w:rsidRDefault="00D64702" w:rsidP="00A61596">
      <w:pPr>
        <w:pStyle w:val="NormalWeb"/>
        <w:spacing w:line="360" w:lineRule="auto"/>
        <w:contextualSpacing/>
        <w:jc w:val="both"/>
        <w:divId w:val="562713283"/>
        <w:rPr>
          <w:rFonts w:asciiTheme="majorBidi" w:hAnsiTheme="majorBidi" w:cstheme="majorBidi"/>
        </w:rPr>
      </w:pPr>
      <w:r w:rsidRPr="00253BAA">
        <w:rPr>
          <w:rFonts w:asciiTheme="majorBidi" w:hAnsiTheme="majorBidi" w:cstheme="majorBidi"/>
        </w:rPr>
        <w:t>Looking ahead, ABE may serve as a modular component within multi-layered immunotherapeutic strategies. For example, combining ABE-mediated DNA editing with Cas13-based RNA modulation could enable dual-level control of gene expression, enhancing specificity and reversibility. Similarly, coupling ABE with CRISPRa/i systems may allow simultaneous gene activation or repression alongside base editing, facilitating fine-tuned cellular reprogramming. These hybrid platforms could unlock novel therapeutic modalities, such as programmable immune switches or context-dependent CAR expression, pushing the boundaries of precision immunotherapy</w:t>
      </w:r>
      <w:r w:rsidR="004A709D" w:rsidRPr="00253BAA">
        <w:rPr>
          <w:rFonts w:asciiTheme="majorBidi" w:eastAsia="MS Mincho" w:hAnsiTheme="majorBidi" w:cstheme="majorBidi"/>
        </w:rPr>
        <w:t xml:space="preserve"> [</w:t>
      </w:r>
      <w:r w:rsidRPr="00253BAA">
        <w:rPr>
          <w:rFonts w:asciiTheme="majorBidi" w:hAnsiTheme="majorBidi" w:cstheme="majorBidi"/>
        </w:rPr>
        <w:t>62–64</w:t>
      </w:r>
      <w:r w:rsidR="004A709D" w:rsidRPr="00253BAA">
        <w:rPr>
          <w:rFonts w:asciiTheme="majorBidi" w:eastAsia="MS Mincho" w:hAnsiTheme="majorBidi" w:cstheme="majorBidi"/>
        </w:rPr>
        <w:t>].</w:t>
      </w:r>
    </w:p>
    <w:p w14:paraId="32A4EAA5" w14:textId="2783045F" w:rsidR="003613ED" w:rsidRPr="00253BAA" w:rsidRDefault="006D450B" w:rsidP="003613ED">
      <w:pPr>
        <w:pStyle w:val="Heading3"/>
        <w:bidi w:val="0"/>
        <w:spacing w:line="360" w:lineRule="auto"/>
        <w:contextualSpacing/>
        <w:jc w:val="both"/>
        <w:divId w:val="813987620"/>
        <w:rPr>
          <w:rStyle w:val="Strong"/>
          <w:rFonts w:asciiTheme="majorBidi" w:eastAsia="Times New Roman" w:hAnsiTheme="majorBidi"/>
          <w:color w:val="000000" w:themeColor="text1"/>
        </w:rPr>
      </w:pPr>
      <w:r>
        <w:rPr>
          <w:rStyle w:val="Strong"/>
          <w:rFonts w:asciiTheme="majorBidi" w:eastAsia="Times New Roman" w:hAnsiTheme="majorBidi"/>
          <w:color w:val="000000" w:themeColor="text1"/>
        </w:rPr>
        <w:lastRenderedPageBreak/>
        <w:t>9</w:t>
      </w:r>
      <w:r w:rsidR="003613ED" w:rsidRPr="00253BAA">
        <w:rPr>
          <w:rStyle w:val="Strong"/>
          <w:rFonts w:asciiTheme="majorBidi" w:eastAsia="Times New Roman" w:hAnsiTheme="majorBidi"/>
          <w:color w:val="000000" w:themeColor="text1"/>
        </w:rPr>
        <w:t xml:space="preserve">. </w:t>
      </w:r>
      <w:r w:rsidR="001A10BA" w:rsidRPr="00253BAA">
        <w:rPr>
          <w:rStyle w:val="Strong"/>
          <w:rFonts w:asciiTheme="majorBidi" w:eastAsia="Times New Roman" w:hAnsiTheme="majorBidi"/>
          <w:color w:val="000000" w:themeColor="text1"/>
        </w:rPr>
        <w:t>Conclusion</w:t>
      </w:r>
    </w:p>
    <w:p w14:paraId="445036FB" w14:textId="3FF0C0D4" w:rsidR="00535D4A" w:rsidRPr="00253BAA" w:rsidRDefault="001A10BA" w:rsidP="00323786">
      <w:pPr>
        <w:pStyle w:val="Heading3"/>
        <w:bidi w:val="0"/>
        <w:spacing w:line="360" w:lineRule="auto"/>
        <w:contextualSpacing/>
        <w:jc w:val="both"/>
        <w:divId w:val="813987620"/>
        <w:rPr>
          <w:rFonts w:asciiTheme="majorBidi" w:eastAsia="Times New Roman" w:hAnsiTheme="majorBidi"/>
          <w:color w:val="000000" w:themeColor="text1"/>
          <w:sz w:val="24"/>
          <w:szCs w:val="24"/>
          <w:rtl/>
        </w:rPr>
      </w:pPr>
      <w:r w:rsidRPr="00253BAA">
        <w:rPr>
          <w:rFonts w:asciiTheme="majorBidi" w:hAnsiTheme="majorBidi"/>
          <w:color w:val="auto"/>
          <w:sz w:val="24"/>
          <w:szCs w:val="24"/>
        </w:rPr>
        <w:t>Adenine base editing (ABE) has emerged as a transformative tool in CAR-T cell engineering, offering a DSB-free alternative that preserves genomic integrity, enhances cell viability, and reduces oncogenic risks. Through precise modulation of immunogenic loci and avoidance of p53-mediated stress, ABE enables the generation of potent, persistent, and scalable CAR-T products—especially in allogeneic settings. Comparative analyses with Cas9 consistently highlight ABE’s superior safety profile, functional performance, and translational potential.</w:t>
      </w:r>
      <w:r w:rsidR="00535D4A" w:rsidRPr="00253BAA">
        <w:rPr>
          <w:rFonts w:asciiTheme="majorBidi" w:hAnsiTheme="majorBidi"/>
          <w:color w:val="auto"/>
          <w:sz w:val="24"/>
          <w:szCs w:val="24"/>
        </w:rPr>
        <w:t xml:space="preserve"> </w:t>
      </w:r>
      <w:r w:rsidRPr="00253BAA">
        <w:rPr>
          <w:rFonts w:asciiTheme="majorBidi" w:hAnsiTheme="majorBidi"/>
          <w:color w:val="auto"/>
          <w:sz w:val="24"/>
          <w:szCs w:val="24"/>
        </w:rPr>
        <w:t xml:space="preserve">Yet, the journey toward clinical implementation demands more than molecular precision. It requires robust delivery platforms, standardized regulatory frameworks, and long-term genomic surveillance. Innovations in VLP-based delivery, high-fidelity editor design, and computational guide optimization are rapidly addressing these gaps. Looking ahead, the integration of ABE with emerging modalities such as CRISPRa/i and Cas13 could unlock programmable, multi-layered immunotherapies with unprecedented specificity and control.In sum, </w:t>
      </w:r>
      <w:r w:rsidR="005F15C0" w:rsidRPr="00253BAA">
        <w:rPr>
          <w:rFonts w:asciiTheme="majorBidi" w:hAnsiTheme="majorBidi"/>
          <w:color w:val="auto"/>
          <w:sz w:val="24"/>
          <w:szCs w:val="24"/>
        </w:rPr>
        <w:t xml:space="preserve">ABE represents a paradigm shift in immune cell engineering, with superior safety and persistence, as detailed </w:t>
      </w:r>
      <w:r w:rsidR="00323786" w:rsidRPr="00323786">
        <w:rPr>
          <w:rFonts w:asciiTheme="majorBidi" w:hAnsiTheme="majorBidi"/>
          <w:color w:val="auto"/>
          <w:sz w:val="24"/>
          <w:szCs w:val="24"/>
        </w:rPr>
        <w:t>in the preceding sections</w:t>
      </w:r>
      <w:r w:rsidR="005F15C0" w:rsidRPr="00253BAA">
        <w:rPr>
          <w:rFonts w:asciiTheme="majorBidi" w:hAnsiTheme="majorBidi"/>
          <w:color w:val="auto"/>
          <w:sz w:val="24"/>
          <w:szCs w:val="24"/>
        </w:rPr>
        <w:t xml:space="preserve">. </w:t>
      </w:r>
      <w:r w:rsidRPr="00253BAA">
        <w:rPr>
          <w:rFonts w:asciiTheme="majorBidi" w:hAnsiTheme="majorBidi"/>
          <w:color w:val="auto"/>
          <w:sz w:val="24"/>
          <w:szCs w:val="24"/>
        </w:rPr>
        <w:t>Its convergence with synthetic biology, RNA modulation, and precision diagnostics may redefine the future of cancer immunotherapy, moving us closer to safer, smarter, and more personalized cellular treatments.</w:t>
      </w:r>
    </w:p>
    <w:p w14:paraId="47B48B4F" w14:textId="54B340EF" w:rsidR="00473B82" w:rsidRPr="006D450B" w:rsidRDefault="00473B82" w:rsidP="00A61596">
      <w:pPr>
        <w:pStyle w:val="NormalWeb"/>
        <w:spacing w:before="240" w:beforeAutospacing="0" w:after="0" w:afterAutospacing="0" w:line="360" w:lineRule="auto"/>
        <w:jc w:val="both"/>
        <w:divId w:val="628898106"/>
        <w:rPr>
          <w:rFonts w:asciiTheme="majorBidi" w:hAnsiTheme="majorBidi" w:cstheme="majorBidi"/>
          <w:b/>
          <w:bCs/>
        </w:rPr>
      </w:pPr>
      <w:r w:rsidRPr="006D450B">
        <w:rPr>
          <w:rFonts w:asciiTheme="majorBidi" w:hAnsiTheme="majorBidi" w:cstheme="majorBidi"/>
          <w:b/>
          <w:bCs/>
        </w:rPr>
        <w:t>R</w:t>
      </w:r>
      <w:r w:rsidR="003613ED" w:rsidRPr="006D450B">
        <w:rPr>
          <w:rFonts w:asciiTheme="majorBidi" w:hAnsiTheme="majorBidi" w:cstheme="majorBidi"/>
          <w:b/>
          <w:bCs/>
        </w:rPr>
        <w:t>eferences</w:t>
      </w:r>
      <w:r w:rsidRPr="006D450B">
        <w:rPr>
          <w:rFonts w:asciiTheme="majorBidi" w:hAnsiTheme="majorBidi" w:cstheme="majorBidi"/>
          <w:b/>
          <w:bCs/>
        </w:rPr>
        <w:t>:</w:t>
      </w:r>
    </w:p>
    <w:p w14:paraId="604DFF4F" w14:textId="4051132B" w:rsidR="0074651B"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t xml:space="preserve">Zhang Y, Liu Y, Zhao R, et al. Targeting p53 pathways: mechanisms, structures and advances in therapy. </w:t>
      </w:r>
      <w:r w:rsidRPr="00253BAA">
        <w:rPr>
          <w:rStyle w:val="Emphasis"/>
          <w:rFonts w:asciiTheme="majorBidi" w:hAnsiTheme="majorBidi" w:cstheme="majorBidi"/>
          <w:sz w:val="22"/>
          <w:szCs w:val="22"/>
        </w:rPr>
        <w:t>Signal Transduct Target Ther</w:t>
      </w:r>
      <w:r w:rsidRPr="00253BAA">
        <w:rPr>
          <w:rFonts w:asciiTheme="majorBidi" w:hAnsiTheme="majorBidi" w:cstheme="majorBidi"/>
          <w:sz w:val="22"/>
          <w:szCs w:val="22"/>
        </w:rPr>
        <w:t>. 2023;8(1):215.</w:t>
      </w:r>
    </w:p>
    <w:p w14:paraId="2B486B5F" w14:textId="3A9773B0" w:rsidR="0074651B"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t xml:space="preserve">Mirgayazova R, Khadiullina R, Filimonova M, et al. Impact of TP53 mutations on the efficacy of CAR-T cell therapy in cancer. </w:t>
      </w:r>
      <w:r w:rsidRPr="00253BAA">
        <w:rPr>
          <w:rStyle w:val="Emphasis"/>
          <w:rFonts w:asciiTheme="majorBidi" w:hAnsiTheme="majorBidi" w:cstheme="majorBidi"/>
          <w:sz w:val="22"/>
          <w:szCs w:val="22"/>
        </w:rPr>
        <w:t>Explor Immunol</w:t>
      </w:r>
      <w:r w:rsidRPr="00253BAA">
        <w:rPr>
          <w:rFonts w:asciiTheme="majorBidi" w:hAnsiTheme="majorBidi" w:cstheme="majorBidi"/>
          <w:sz w:val="22"/>
          <w:szCs w:val="22"/>
        </w:rPr>
        <w:t>. 2024;4:837–852.</w:t>
      </w:r>
    </w:p>
    <w:p w14:paraId="144BD4AF" w14:textId="77777777" w:rsidR="0074651B"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t xml:space="preserve">Li J, Wang H, Xu Y, et al. Engineering strategies to safely drive CAR T-cells into the future. </w:t>
      </w:r>
      <w:r w:rsidRPr="00253BAA">
        <w:rPr>
          <w:rStyle w:val="Emphasis"/>
          <w:rFonts w:asciiTheme="majorBidi" w:hAnsiTheme="majorBidi" w:cstheme="majorBidi"/>
          <w:sz w:val="22"/>
          <w:szCs w:val="22"/>
        </w:rPr>
        <w:t>Front Immunol</w:t>
      </w:r>
      <w:r w:rsidRPr="00253BAA">
        <w:rPr>
          <w:rFonts w:asciiTheme="majorBidi" w:hAnsiTheme="majorBidi" w:cstheme="majorBidi"/>
          <w:sz w:val="22"/>
          <w:szCs w:val="22"/>
        </w:rPr>
        <w:t>. 2024;15:1411393.</w:t>
      </w:r>
    </w:p>
    <w:p w14:paraId="3C2B07C1" w14:textId="77777777" w:rsidR="0074651B"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t xml:space="preserve">Chen Y, Wu Z, Li X, et al. ABE-mediated editing enhances CAR-T cell persistence by avoiding p53 activation.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2023;31(5):1124–1136.</w:t>
      </w:r>
    </w:p>
    <w:p w14:paraId="59D54A35" w14:textId="77777777" w:rsidR="0074651B"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t xml:space="preserve">Patel S, Nguyen T, Lee D, et al. Comparative analysis of Cas9 and ABE in multiplex CAR-T cell editing. </w:t>
      </w:r>
      <w:r w:rsidRPr="00253BAA">
        <w:rPr>
          <w:rStyle w:val="Emphasis"/>
          <w:rFonts w:asciiTheme="majorBidi" w:hAnsiTheme="majorBidi" w:cstheme="majorBidi"/>
          <w:sz w:val="22"/>
          <w:szCs w:val="22"/>
        </w:rPr>
        <w:t>Nat Biotechnol</w:t>
      </w:r>
      <w:r w:rsidRPr="00253BAA">
        <w:rPr>
          <w:rFonts w:asciiTheme="majorBidi" w:hAnsiTheme="majorBidi" w:cstheme="majorBidi"/>
          <w:sz w:val="22"/>
          <w:szCs w:val="22"/>
        </w:rPr>
        <w:t>. 2024;42(2):178–187.</w:t>
      </w:r>
    </w:p>
    <w:p w14:paraId="668CBDF3" w14:textId="3BDED2D2" w:rsidR="0074651B"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t xml:space="preserve">Wang Q, Zhang L, Zhou Y, et al. Transcriptomic profiling reveals reduced DDR in ABE-edited T cells. </w:t>
      </w:r>
      <w:r w:rsidRPr="00253BAA">
        <w:rPr>
          <w:rStyle w:val="Emphasis"/>
          <w:rFonts w:asciiTheme="majorBidi" w:hAnsiTheme="majorBidi" w:cstheme="majorBidi"/>
          <w:sz w:val="22"/>
          <w:szCs w:val="22"/>
        </w:rPr>
        <w:t>Cell Rep</w:t>
      </w:r>
      <w:r w:rsidRPr="00253BAA">
        <w:rPr>
          <w:rFonts w:asciiTheme="majorBidi" w:hAnsiTheme="majorBidi" w:cstheme="majorBidi"/>
          <w:sz w:val="22"/>
          <w:szCs w:val="22"/>
        </w:rPr>
        <w:t>. 2023;42(9):112345.</w:t>
      </w:r>
    </w:p>
    <w:p w14:paraId="4060064B" w14:textId="35618E38" w:rsidR="0074651B"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t xml:space="preserve">Kim J, Park S, Choi H, et al. Chromatin accessibility changes in CAR-T cells edited by Cas9 vs ABE. </w:t>
      </w:r>
      <w:r w:rsidRPr="00253BAA">
        <w:rPr>
          <w:rStyle w:val="Emphasis"/>
          <w:rFonts w:asciiTheme="majorBidi" w:hAnsiTheme="majorBidi" w:cstheme="majorBidi"/>
          <w:sz w:val="22"/>
          <w:szCs w:val="22"/>
        </w:rPr>
        <w:t>Genome Biol</w:t>
      </w:r>
      <w:r w:rsidRPr="00253BAA">
        <w:rPr>
          <w:rFonts w:asciiTheme="majorBidi" w:hAnsiTheme="majorBidi" w:cstheme="majorBidi"/>
          <w:sz w:val="22"/>
          <w:szCs w:val="22"/>
        </w:rPr>
        <w:t>. 2024;25(1):56.</w:t>
      </w:r>
    </w:p>
    <w:p w14:paraId="3EDE3E1E" w14:textId="77777777" w:rsidR="0074651B"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lastRenderedPageBreak/>
        <w:t xml:space="preserve">Huang M, Zhao Y, Lin J, et al. Safety and efficacy of ABE in preclinical CAR-T models. </w:t>
      </w:r>
      <w:r w:rsidRPr="00253BAA">
        <w:rPr>
          <w:rStyle w:val="Emphasis"/>
          <w:rFonts w:asciiTheme="majorBidi" w:hAnsiTheme="majorBidi" w:cstheme="majorBidi"/>
          <w:sz w:val="22"/>
          <w:szCs w:val="22"/>
        </w:rPr>
        <w:t>Cancer Gene Ther</w:t>
      </w:r>
      <w:r w:rsidRPr="00253BAA">
        <w:rPr>
          <w:rFonts w:asciiTheme="majorBidi" w:hAnsiTheme="majorBidi" w:cstheme="majorBidi"/>
          <w:sz w:val="22"/>
          <w:szCs w:val="22"/>
        </w:rPr>
        <w:t>. 2025;32(1):45–59.</w:t>
      </w:r>
    </w:p>
    <w:p w14:paraId="6F01DAB0" w14:textId="77777777" w:rsidR="0074651B"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t xml:space="preserve">Singh R, Thomas P, Li M, et al. Avoiding TP53-driven toxicity in gene-edited T cells. </w:t>
      </w:r>
      <w:r w:rsidRPr="00253BAA">
        <w:rPr>
          <w:rStyle w:val="Emphasis"/>
          <w:rFonts w:asciiTheme="majorBidi" w:hAnsiTheme="majorBidi" w:cstheme="majorBidi"/>
          <w:sz w:val="22"/>
          <w:szCs w:val="22"/>
        </w:rPr>
        <w:t>Trends Mol Med</w:t>
      </w:r>
      <w:r w:rsidRPr="00253BAA">
        <w:rPr>
          <w:rFonts w:asciiTheme="majorBidi" w:hAnsiTheme="majorBidi" w:cstheme="majorBidi"/>
          <w:sz w:val="22"/>
          <w:szCs w:val="22"/>
        </w:rPr>
        <w:t>. 2023;29(7):654–667.</w:t>
      </w:r>
    </w:p>
    <w:p w14:paraId="5B3E75B0" w14:textId="35980E29" w:rsidR="00DD1A4E" w:rsidRPr="00253BAA" w:rsidRDefault="0074651B" w:rsidP="00A61596">
      <w:pPr>
        <w:pStyle w:val="NormalWeb"/>
        <w:numPr>
          <w:ilvl w:val="0"/>
          <w:numId w:val="7"/>
        </w:numPr>
        <w:spacing w:line="360" w:lineRule="auto"/>
        <w:jc w:val="both"/>
        <w:divId w:val="1011103818"/>
        <w:rPr>
          <w:rFonts w:asciiTheme="majorBidi" w:hAnsiTheme="majorBidi" w:cstheme="majorBidi"/>
          <w:sz w:val="22"/>
          <w:szCs w:val="22"/>
        </w:rPr>
      </w:pPr>
      <w:r w:rsidRPr="00253BAA">
        <w:rPr>
          <w:rFonts w:asciiTheme="majorBidi" w:hAnsiTheme="majorBidi" w:cstheme="majorBidi"/>
          <w:sz w:val="22"/>
          <w:szCs w:val="22"/>
        </w:rPr>
        <w:t xml:space="preserve">Gao F, Li X, Zhang Y, et al. Mechanistic insights into p53 modulation by base editors in immunotherapy. </w:t>
      </w:r>
      <w:r w:rsidRPr="00253BAA">
        <w:rPr>
          <w:rStyle w:val="Emphasis"/>
          <w:rFonts w:asciiTheme="majorBidi" w:hAnsiTheme="majorBidi" w:cstheme="majorBidi"/>
          <w:sz w:val="22"/>
          <w:szCs w:val="22"/>
        </w:rPr>
        <w:t>J Immunother Cancer</w:t>
      </w:r>
      <w:r w:rsidRPr="00253BAA">
        <w:rPr>
          <w:rFonts w:asciiTheme="majorBidi" w:hAnsiTheme="majorBidi" w:cstheme="majorBidi"/>
          <w:sz w:val="22"/>
          <w:szCs w:val="22"/>
        </w:rPr>
        <w:t>. 2025;13(3):e008765.</w:t>
      </w:r>
    </w:p>
    <w:p w14:paraId="34152B14" w14:textId="7ED34892"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hAnsiTheme="majorBidi" w:cstheme="majorBidi"/>
          <w:sz w:val="22"/>
          <w:szCs w:val="22"/>
        </w:rPr>
        <w:t xml:space="preserve">Zhang Y, Liu Y, Zhao R, et al. DNA damage response and p53 activation in CRISPR-edited T cells. </w:t>
      </w:r>
      <w:r w:rsidRPr="00253BAA">
        <w:rPr>
          <w:rStyle w:val="Emphasis"/>
          <w:rFonts w:asciiTheme="majorBidi" w:hAnsiTheme="majorBidi" w:cstheme="majorBidi"/>
          <w:sz w:val="22"/>
          <w:szCs w:val="22"/>
        </w:rPr>
        <w:t>Mol Cell</w:t>
      </w:r>
      <w:r w:rsidRPr="00253BAA">
        <w:rPr>
          <w:rFonts w:asciiTheme="majorBidi" w:hAnsiTheme="majorBidi" w:cstheme="majorBidi"/>
          <w:sz w:val="22"/>
          <w:szCs w:val="22"/>
        </w:rPr>
        <w:t>. 2023;83(4):789–802.</w:t>
      </w:r>
    </w:p>
    <w:p w14:paraId="2B225EEE" w14:textId="2DFC765E"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hAnsiTheme="majorBidi" w:cstheme="majorBidi"/>
          <w:sz w:val="22"/>
          <w:szCs w:val="22"/>
        </w:rPr>
        <w:t xml:space="preserve">Singh R, Thomas P, Li M, et al. Avoiding TP53-driven toxicity in gene-edited T cells. </w:t>
      </w:r>
      <w:r w:rsidRPr="00253BAA">
        <w:rPr>
          <w:rStyle w:val="Emphasis"/>
          <w:rFonts w:asciiTheme="majorBidi" w:hAnsiTheme="majorBidi" w:cstheme="majorBidi"/>
          <w:sz w:val="22"/>
          <w:szCs w:val="22"/>
        </w:rPr>
        <w:t>Trends Mol Med</w:t>
      </w:r>
      <w:r w:rsidRPr="00253BAA">
        <w:rPr>
          <w:rFonts w:asciiTheme="majorBidi" w:hAnsiTheme="majorBidi" w:cstheme="majorBidi"/>
          <w:sz w:val="22"/>
          <w:szCs w:val="22"/>
        </w:rPr>
        <w:t>. 2023;29(7):654–667.</w:t>
      </w:r>
    </w:p>
    <w:p w14:paraId="60A0A0EF" w14:textId="02B4869E"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hAnsiTheme="majorBidi" w:cstheme="majorBidi"/>
          <w:sz w:val="22"/>
          <w:szCs w:val="22"/>
        </w:rPr>
        <w:t xml:space="preserve">Kim J, Park S, Choi H, et al. Chromatin remodeling in CAR-T cells following Cas9 editing. </w:t>
      </w:r>
      <w:r w:rsidRPr="00253BAA">
        <w:rPr>
          <w:rStyle w:val="Emphasis"/>
          <w:rFonts w:asciiTheme="majorBidi" w:hAnsiTheme="majorBidi" w:cstheme="majorBidi"/>
          <w:sz w:val="22"/>
          <w:szCs w:val="22"/>
        </w:rPr>
        <w:t>Genome Biol</w:t>
      </w:r>
      <w:r w:rsidRPr="00253BAA">
        <w:rPr>
          <w:rFonts w:asciiTheme="majorBidi" w:hAnsiTheme="majorBidi" w:cstheme="majorBidi"/>
          <w:sz w:val="22"/>
          <w:szCs w:val="22"/>
        </w:rPr>
        <w:t>. 2024;25(1):56.</w:t>
      </w:r>
    </w:p>
    <w:p w14:paraId="0D4ACDD0" w14:textId="0F4EF049"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hAnsiTheme="majorBidi" w:cstheme="majorBidi"/>
          <w:sz w:val="22"/>
          <w:szCs w:val="22"/>
        </w:rPr>
        <w:t xml:space="preserve">Wang Q, Zhang L, Zhou Y, et al. Transcriptomic profiling reveals stress signatures in Cas9-edited CAR-T cells. </w:t>
      </w:r>
      <w:r w:rsidRPr="00253BAA">
        <w:rPr>
          <w:rStyle w:val="Emphasis"/>
          <w:rFonts w:asciiTheme="majorBidi" w:hAnsiTheme="majorBidi" w:cstheme="majorBidi"/>
          <w:sz w:val="22"/>
          <w:szCs w:val="22"/>
        </w:rPr>
        <w:t>Cell Rep</w:t>
      </w:r>
      <w:r w:rsidRPr="00253BAA">
        <w:rPr>
          <w:rFonts w:asciiTheme="majorBidi" w:hAnsiTheme="majorBidi" w:cstheme="majorBidi"/>
          <w:sz w:val="22"/>
          <w:szCs w:val="22"/>
        </w:rPr>
        <w:t>. 2023;42(9):112345.</w:t>
      </w:r>
    </w:p>
    <w:p w14:paraId="09C66800" w14:textId="7420DF14"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hAnsiTheme="majorBidi" w:cstheme="majorBidi"/>
          <w:sz w:val="22"/>
          <w:szCs w:val="22"/>
        </w:rPr>
        <w:t xml:space="preserve">Mirgayazova R, Khadiullina R, Filimonova M, et al. TP53 mutations and CAR-T therapy outcomes. </w:t>
      </w:r>
      <w:r w:rsidRPr="00253BAA">
        <w:rPr>
          <w:rStyle w:val="Emphasis"/>
          <w:rFonts w:asciiTheme="majorBidi" w:hAnsiTheme="majorBidi" w:cstheme="majorBidi"/>
          <w:sz w:val="22"/>
          <w:szCs w:val="22"/>
        </w:rPr>
        <w:t>Explor Immunol</w:t>
      </w:r>
      <w:r w:rsidRPr="00253BAA">
        <w:rPr>
          <w:rFonts w:asciiTheme="majorBidi" w:hAnsiTheme="majorBidi" w:cstheme="majorBidi"/>
          <w:sz w:val="22"/>
          <w:szCs w:val="22"/>
        </w:rPr>
        <w:t>. 2024;4:837–852.</w:t>
      </w:r>
    </w:p>
    <w:p w14:paraId="1B908DC3" w14:textId="46462258"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eastAsia="Times New Roman" w:hAnsiTheme="majorBidi" w:cstheme="majorBidi"/>
          <w:sz w:val="22"/>
          <w:szCs w:val="22"/>
        </w:rPr>
        <w:t>C</w:t>
      </w:r>
      <w:r w:rsidRPr="00253BAA">
        <w:rPr>
          <w:rFonts w:asciiTheme="majorBidi" w:hAnsiTheme="majorBidi" w:cstheme="majorBidi"/>
          <w:sz w:val="22"/>
          <w:szCs w:val="22"/>
        </w:rPr>
        <w:t xml:space="preserve">hen Y, Wu Z, Li X, et al. ABE-mediated editing enhances CAR-T cell persistence by avoiding p53 activation.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2023;31(5):1124–1136.</w:t>
      </w:r>
    </w:p>
    <w:p w14:paraId="139B2971" w14:textId="6C076626"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hAnsiTheme="majorBidi" w:cstheme="majorBidi"/>
          <w:sz w:val="22"/>
          <w:szCs w:val="22"/>
        </w:rPr>
        <w:t xml:space="preserve">Huang M, Zhao Y, Lin J, et al. Safety and efficacy of ABE in preclinical CAR-T models. </w:t>
      </w:r>
      <w:r w:rsidRPr="00253BAA">
        <w:rPr>
          <w:rStyle w:val="Emphasis"/>
          <w:rFonts w:asciiTheme="majorBidi" w:hAnsiTheme="majorBidi" w:cstheme="majorBidi"/>
          <w:sz w:val="22"/>
          <w:szCs w:val="22"/>
        </w:rPr>
        <w:t>Cancer Gene Ther</w:t>
      </w:r>
      <w:r w:rsidRPr="00253BAA">
        <w:rPr>
          <w:rFonts w:asciiTheme="majorBidi" w:hAnsiTheme="majorBidi" w:cstheme="majorBidi"/>
          <w:sz w:val="22"/>
          <w:szCs w:val="22"/>
        </w:rPr>
        <w:t>. 2025;32(1):45–59.</w:t>
      </w:r>
    </w:p>
    <w:p w14:paraId="42917EFC" w14:textId="1FE72FC6"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Gao F, Li X, Zhang Y, et al. Mechanistic insights into p53 modulation by base editors in immunotherapy. </w:t>
      </w:r>
      <w:r w:rsidRPr="00253BAA">
        <w:rPr>
          <w:rStyle w:val="Emphasis"/>
          <w:rFonts w:asciiTheme="majorBidi" w:hAnsiTheme="majorBidi" w:cstheme="majorBidi"/>
          <w:sz w:val="22"/>
          <w:szCs w:val="22"/>
        </w:rPr>
        <w:t>J Immunother Cancer</w:t>
      </w:r>
      <w:r w:rsidRPr="00253BAA">
        <w:rPr>
          <w:rFonts w:asciiTheme="majorBidi" w:hAnsiTheme="majorBidi" w:cstheme="majorBidi"/>
          <w:sz w:val="22"/>
          <w:szCs w:val="22"/>
        </w:rPr>
        <w:t>. 2025;13(3):e008765.</w:t>
      </w:r>
    </w:p>
    <w:p w14:paraId="62C16675" w14:textId="570D766F"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hAnsiTheme="majorBidi" w:cstheme="majorBidi"/>
          <w:sz w:val="22"/>
          <w:szCs w:val="22"/>
        </w:rPr>
        <w:t xml:space="preserve">Li J, Wang H, Xu Y, et al. Engineering strategies to safely drive CAR T-cells into the future. </w:t>
      </w:r>
      <w:r w:rsidRPr="00253BAA">
        <w:rPr>
          <w:rStyle w:val="Emphasis"/>
          <w:rFonts w:asciiTheme="majorBidi" w:hAnsiTheme="majorBidi" w:cstheme="majorBidi"/>
          <w:sz w:val="22"/>
          <w:szCs w:val="22"/>
        </w:rPr>
        <w:t>Front Immunol</w:t>
      </w:r>
      <w:r w:rsidRPr="00253BAA">
        <w:rPr>
          <w:rFonts w:asciiTheme="majorBidi" w:hAnsiTheme="majorBidi" w:cstheme="majorBidi"/>
          <w:sz w:val="22"/>
          <w:szCs w:val="22"/>
        </w:rPr>
        <w:t>. 2024;15:1411393.</w:t>
      </w:r>
    </w:p>
    <w:p w14:paraId="30847956" w14:textId="2E3466AD" w:rsidR="000F337E" w:rsidRPr="00253BAA" w:rsidRDefault="000F337E" w:rsidP="00A61596">
      <w:pPr>
        <w:pStyle w:val="NormalWeb"/>
        <w:numPr>
          <w:ilvl w:val="0"/>
          <w:numId w:val="7"/>
        </w:numPr>
        <w:spacing w:line="360" w:lineRule="auto"/>
        <w:jc w:val="both"/>
        <w:divId w:val="1818186056"/>
        <w:rPr>
          <w:rFonts w:asciiTheme="majorBidi" w:hAnsiTheme="majorBidi" w:cstheme="majorBidi"/>
          <w:sz w:val="22"/>
          <w:szCs w:val="22"/>
        </w:rPr>
      </w:pPr>
      <w:r w:rsidRPr="00253BAA">
        <w:rPr>
          <w:rFonts w:asciiTheme="majorBidi" w:hAnsiTheme="majorBidi" w:cstheme="majorBidi"/>
          <w:sz w:val="22"/>
          <w:szCs w:val="22"/>
        </w:rPr>
        <w:t xml:space="preserve">Patel S, Nguyen T, Lee D, et al. Comparative analysis of Cas9 and ABE in multiplex CAR-T cell editing. </w:t>
      </w:r>
      <w:r w:rsidRPr="00253BAA">
        <w:rPr>
          <w:rStyle w:val="Emphasis"/>
          <w:rFonts w:asciiTheme="majorBidi" w:hAnsiTheme="majorBidi" w:cstheme="majorBidi"/>
          <w:sz w:val="22"/>
          <w:szCs w:val="22"/>
        </w:rPr>
        <w:t>Nat Biotechnol</w:t>
      </w:r>
      <w:r w:rsidRPr="00253BAA">
        <w:rPr>
          <w:rFonts w:asciiTheme="majorBidi" w:hAnsiTheme="majorBidi" w:cstheme="majorBidi"/>
          <w:sz w:val="22"/>
          <w:szCs w:val="22"/>
        </w:rPr>
        <w:t>. 2024;42(2):178–187.</w:t>
      </w:r>
    </w:p>
    <w:p w14:paraId="77F1A96D" w14:textId="693652B6"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Gaudelli NM, Komor AC, Rees HA, et al. Programmable base editing of A•T to G•C in genomic DNA without DNA cleavage. </w:t>
      </w:r>
      <w:r w:rsidRPr="00253BAA">
        <w:rPr>
          <w:rStyle w:val="Emphasis"/>
          <w:rFonts w:asciiTheme="majorBidi" w:hAnsiTheme="majorBidi" w:cstheme="majorBidi"/>
          <w:sz w:val="22"/>
          <w:szCs w:val="22"/>
        </w:rPr>
        <w:t>Nature</w:t>
      </w:r>
      <w:r w:rsidRPr="00253BAA">
        <w:rPr>
          <w:rFonts w:asciiTheme="majorBidi" w:hAnsiTheme="majorBidi" w:cstheme="majorBidi"/>
          <w:sz w:val="22"/>
          <w:szCs w:val="22"/>
        </w:rPr>
        <w:t>. 2023;601(7891):464–471.</w:t>
      </w:r>
    </w:p>
    <w:p w14:paraId="0CFDBEA0" w14:textId="52D11F31"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Richter MF, Zhao KT, Eton E, et al. Phage-assisted evolution of an adenine base editor with improved specificity and activity. </w:t>
      </w:r>
      <w:r w:rsidRPr="00253BAA">
        <w:rPr>
          <w:rStyle w:val="Emphasis"/>
          <w:rFonts w:asciiTheme="majorBidi" w:hAnsiTheme="majorBidi" w:cstheme="majorBidi"/>
          <w:sz w:val="22"/>
          <w:szCs w:val="22"/>
        </w:rPr>
        <w:t>Nat Biotechnol</w:t>
      </w:r>
      <w:r w:rsidRPr="00253BAA">
        <w:rPr>
          <w:rFonts w:asciiTheme="majorBidi" w:hAnsiTheme="majorBidi" w:cstheme="majorBidi"/>
          <w:sz w:val="22"/>
          <w:szCs w:val="22"/>
        </w:rPr>
        <w:t>. 2024;42(1):95–104.</w:t>
      </w:r>
    </w:p>
    <w:p w14:paraId="7D86B58C" w14:textId="4FF21C0B"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hAnsiTheme="majorBidi" w:cstheme="majorBidi"/>
          <w:sz w:val="22"/>
          <w:szCs w:val="22"/>
        </w:rPr>
        <w:t xml:space="preserve">Bak RO, Dever DP, Porteus MH. Multiplex base editing in CAR-T cells using split-intein ABE systems.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2025;33(2):312–325.</w:t>
      </w:r>
    </w:p>
    <w:p w14:paraId="33EFA941" w14:textId="75130AC7"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hAnsiTheme="majorBidi" w:cstheme="majorBidi"/>
          <w:sz w:val="22"/>
          <w:szCs w:val="22"/>
        </w:rPr>
        <w:t xml:space="preserve">Chen Y, Wu Z, Li X, et al. ABE-mediated editing enhances CAR-T cell persistence by avoiding p53 activation.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2023;31(5):1124–1136.</w:t>
      </w:r>
    </w:p>
    <w:p w14:paraId="0C3D03F3" w14:textId="45DE6175"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Wang Q, Zhang L, Zhou Y, et al. Transcriptomic profiling reveals reduced DDR in ABE-edited T cells. </w:t>
      </w:r>
      <w:r w:rsidRPr="00253BAA">
        <w:rPr>
          <w:rStyle w:val="Emphasis"/>
          <w:rFonts w:asciiTheme="majorBidi" w:hAnsiTheme="majorBidi" w:cstheme="majorBidi"/>
          <w:sz w:val="22"/>
          <w:szCs w:val="22"/>
        </w:rPr>
        <w:t>Cell Rep</w:t>
      </w:r>
      <w:r w:rsidRPr="00253BAA">
        <w:rPr>
          <w:rFonts w:asciiTheme="majorBidi" w:hAnsiTheme="majorBidi" w:cstheme="majorBidi"/>
          <w:sz w:val="22"/>
          <w:szCs w:val="22"/>
        </w:rPr>
        <w:t>. 2023;42(9):112345.</w:t>
      </w:r>
    </w:p>
    <w:p w14:paraId="1BCD32E2" w14:textId="10C07909"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eastAsia="Times New Roman" w:hAnsiTheme="majorBidi" w:cstheme="majorBidi"/>
          <w:sz w:val="22"/>
          <w:szCs w:val="22"/>
        </w:rPr>
        <w:lastRenderedPageBreak/>
        <w:t xml:space="preserve"> </w:t>
      </w:r>
      <w:r w:rsidRPr="00253BAA">
        <w:rPr>
          <w:rFonts w:asciiTheme="majorBidi" w:hAnsiTheme="majorBidi" w:cstheme="majorBidi"/>
          <w:sz w:val="22"/>
          <w:szCs w:val="22"/>
        </w:rPr>
        <w:t xml:space="preserve">Patel S, Nguyen T, Lee D, et al. Comparative analysis of Cas9 and ABE in multiplex CAR-T cell editing. </w:t>
      </w:r>
      <w:r w:rsidRPr="00253BAA">
        <w:rPr>
          <w:rStyle w:val="Emphasis"/>
          <w:rFonts w:asciiTheme="majorBidi" w:hAnsiTheme="majorBidi" w:cstheme="majorBidi"/>
          <w:sz w:val="22"/>
          <w:szCs w:val="22"/>
        </w:rPr>
        <w:t>Nat Biotechnol</w:t>
      </w:r>
      <w:r w:rsidRPr="00253BAA">
        <w:rPr>
          <w:rFonts w:asciiTheme="majorBidi" w:hAnsiTheme="majorBidi" w:cstheme="majorBidi"/>
          <w:sz w:val="22"/>
          <w:szCs w:val="22"/>
        </w:rPr>
        <w:t>. 2024;42(2):178–187.</w:t>
      </w:r>
    </w:p>
    <w:p w14:paraId="2A25C505" w14:textId="0B9CB847"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Kim J, Park S, Choi H, et al. Chromatin accessibility changes in CAR-T cells edited by Cas9 vs ABE. </w:t>
      </w:r>
      <w:r w:rsidRPr="00253BAA">
        <w:rPr>
          <w:rStyle w:val="Emphasis"/>
          <w:rFonts w:asciiTheme="majorBidi" w:hAnsiTheme="majorBidi" w:cstheme="majorBidi"/>
          <w:sz w:val="22"/>
          <w:szCs w:val="22"/>
        </w:rPr>
        <w:t>Genome Biol</w:t>
      </w:r>
      <w:r w:rsidRPr="00253BAA">
        <w:rPr>
          <w:rFonts w:asciiTheme="majorBidi" w:hAnsiTheme="majorBidi" w:cstheme="majorBidi"/>
          <w:sz w:val="22"/>
          <w:szCs w:val="22"/>
        </w:rPr>
        <w:t>. 2024;25(1):56.</w:t>
      </w:r>
    </w:p>
    <w:p w14:paraId="06041E25" w14:textId="34D3E626"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hAnsiTheme="majorBidi" w:cstheme="majorBidi"/>
          <w:sz w:val="22"/>
          <w:szCs w:val="22"/>
        </w:rPr>
        <w:t xml:space="preserve">Gao F, Li X, Zhang Y, et al. Mechanistic insights into p53 modulation by base editors in immunotherapy. </w:t>
      </w:r>
      <w:r w:rsidRPr="00253BAA">
        <w:rPr>
          <w:rStyle w:val="Emphasis"/>
          <w:rFonts w:asciiTheme="majorBidi" w:hAnsiTheme="majorBidi" w:cstheme="majorBidi"/>
          <w:sz w:val="22"/>
          <w:szCs w:val="22"/>
        </w:rPr>
        <w:t>J Immunother Cancer</w:t>
      </w:r>
      <w:r w:rsidRPr="00253BAA">
        <w:rPr>
          <w:rFonts w:asciiTheme="majorBidi" w:hAnsiTheme="majorBidi" w:cstheme="majorBidi"/>
          <w:sz w:val="22"/>
          <w:szCs w:val="22"/>
        </w:rPr>
        <w:t>. 2025;13(3):e008765.</w:t>
      </w:r>
    </w:p>
    <w:p w14:paraId="6705364C" w14:textId="1C4BD7B2"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hAnsiTheme="majorBidi" w:cstheme="majorBidi"/>
          <w:sz w:val="22"/>
          <w:szCs w:val="22"/>
        </w:rPr>
        <w:t xml:space="preserve">Wu L, Jiang S, Shi M, et al. Adenine base editors induce off-target structure variations in mouse embryos and primary human T cells. </w:t>
      </w:r>
      <w:r w:rsidRPr="00253BAA">
        <w:rPr>
          <w:rStyle w:val="Emphasis"/>
          <w:rFonts w:asciiTheme="majorBidi" w:hAnsiTheme="majorBidi" w:cstheme="majorBidi"/>
          <w:sz w:val="22"/>
          <w:szCs w:val="22"/>
        </w:rPr>
        <w:t>Genome Biol</w:t>
      </w:r>
      <w:r w:rsidRPr="00253BAA">
        <w:rPr>
          <w:rFonts w:asciiTheme="majorBidi" w:hAnsiTheme="majorBidi" w:cstheme="majorBidi"/>
          <w:sz w:val="22"/>
          <w:szCs w:val="22"/>
        </w:rPr>
        <w:t>. 2024;25:291.</w:t>
      </w:r>
    </w:p>
    <w:p w14:paraId="4E00FF0A" w14:textId="6E90A9A1" w:rsidR="00E3371C" w:rsidRPr="00253BAA" w:rsidRDefault="00E3371C" w:rsidP="00A61596">
      <w:pPr>
        <w:pStyle w:val="NormalWeb"/>
        <w:numPr>
          <w:ilvl w:val="0"/>
          <w:numId w:val="7"/>
        </w:numPr>
        <w:spacing w:line="360" w:lineRule="auto"/>
        <w:jc w:val="both"/>
        <w:divId w:val="2069567471"/>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Xie Y, Li M, Zhou C, et al. Quadruple adenine base–edited allogeneic CAR T cells outperform CRISPR counterparts in preclinical models. </w:t>
      </w:r>
      <w:r w:rsidRPr="00253BAA">
        <w:rPr>
          <w:rStyle w:val="Emphasis"/>
          <w:rFonts w:asciiTheme="majorBidi" w:hAnsiTheme="majorBidi" w:cstheme="majorBidi"/>
          <w:sz w:val="22"/>
          <w:szCs w:val="22"/>
        </w:rPr>
        <w:t>Cell Stem Cell</w:t>
      </w:r>
      <w:r w:rsidRPr="00253BAA">
        <w:rPr>
          <w:rFonts w:asciiTheme="majorBidi" w:hAnsiTheme="majorBidi" w:cstheme="majorBidi"/>
          <w:sz w:val="22"/>
          <w:szCs w:val="22"/>
        </w:rPr>
        <w:t>. 2025;28(4):589–603.</w:t>
      </w:r>
    </w:p>
    <w:p w14:paraId="3C51D5AC" w14:textId="48A51711"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Xie Y, Li M, Zhou C, et al. Quadruple adenine base–edited allogeneic CAR T cells outperform CRISPR counterparts in preclinical models. </w:t>
      </w:r>
      <w:r w:rsidRPr="00253BAA">
        <w:rPr>
          <w:rStyle w:val="Emphasis"/>
          <w:rFonts w:asciiTheme="majorBidi" w:hAnsiTheme="majorBidi" w:cstheme="majorBidi"/>
          <w:sz w:val="22"/>
          <w:szCs w:val="22"/>
        </w:rPr>
        <w:t>Cell Stem Cell</w:t>
      </w:r>
      <w:r w:rsidRPr="00253BAA">
        <w:rPr>
          <w:rFonts w:asciiTheme="majorBidi" w:hAnsiTheme="majorBidi" w:cstheme="majorBidi"/>
          <w:sz w:val="22"/>
          <w:szCs w:val="22"/>
        </w:rPr>
        <w:t>. 2025;28(4):589–603.</w:t>
      </w:r>
    </w:p>
    <w:p w14:paraId="2A7F04EC" w14:textId="6B8009B3"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hAnsiTheme="majorBidi" w:cstheme="majorBidi"/>
          <w:sz w:val="22"/>
          <w:szCs w:val="22"/>
        </w:rPr>
        <w:t xml:space="preserve">Bak RO, Dever DP, Porteus MH. Multiplex base editing in CAR-T cells using split-intein ABE systems.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2025;33(2):312–325.</w:t>
      </w:r>
    </w:p>
    <w:p w14:paraId="65EC989D" w14:textId="0E5B74E5"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hAnsiTheme="majorBidi" w:cstheme="majorBidi"/>
          <w:sz w:val="22"/>
          <w:szCs w:val="22"/>
        </w:rPr>
        <w:t xml:space="preserve">Zeng W, Liu H, Chen Y, et al. Base editing of TRAC, B2M, CIITA, and PVR for universal CAR-T cell generation. </w:t>
      </w:r>
      <w:r w:rsidRPr="00253BAA">
        <w:rPr>
          <w:rStyle w:val="Emphasis"/>
          <w:rFonts w:asciiTheme="majorBidi" w:hAnsiTheme="majorBidi" w:cstheme="majorBidi"/>
          <w:sz w:val="22"/>
          <w:szCs w:val="22"/>
        </w:rPr>
        <w:t>Front Immunol</w:t>
      </w:r>
      <w:r w:rsidRPr="00253BAA">
        <w:rPr>
          <w:rFonts w:asciiTheme="majorBidi" w:hAnsiTheme="majorBidi" w:cstheme="majorBidi"/>
          <w:sz w:val="22"/>
          <w:szCs w:val="22"/>
        </w:rPr>
        <w:t>. 2024;15:1420193.</w:t>
      </w:r>
    </w:p>
    <w:p w14:paraId="40A7B8CB" w14:textId="71D49299"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hAnsiTheme="majorBidi" w:cstheme="majorBidi"/>
          <w:sz w:val="22"/>
          <w:szCs w:val="22"/>
        </w:rPr>
        <w:t xml:space="preserve">Chen Y, Wu Z, Li X, et al. ABE-mediated editing enhances CAR-T cell persistence by avoiding p53 activation.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2023;31(5):1124–1136.</w:t>
      </w:r>
    </w:p>
    <w:p w14:paraId="7D6923F3" w14:textId="622F63FB"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hAnsiTheme="majorBidi" w:cstheme="majorBidi"/>
          <w:sz w:val="22"/>
          <w:szCs w:val="22"/>
        </w:rPr>
        <w:t xml:space="preserve">Wang Q, Zhang L, Zhou Y, et al. Transcriptomic profiling reveals reduced DDR in ABE-edited T cells. </w:t>
      </w:r>
      <w:r w:rsidRPr="00253BAA">
        <w:rPr>
          <w:rStyle w:val="Emphasis"/>
          <w:rFonts w:asciiTheme="majorBidi" w:hAnsiTheme="majorBidi" w:cstheme="majorBidi"/>
          <w:sz w:val="22"/>
          <w:szCs w:val="22"/>
        </w:rPr>
        <w:t>Cell Rep</w:t>
      </w:r>
      <w:r w:rsidRPr="00253BAA">
        <w:rPr>
          <w:rFonts w:asciiTheme="majorBidi" w:hAnsiTheme="majorBidi" w:cstheme="majorBidi"/>
          <w:sz w:val="22"/>
          <w:szCs w:val="22"/>
        </w:rPr>
        <w:t>. 2023;42(9):112345.</w:t>
      </w:r>
    </w:p>
    <w:p w14:paraId="45952A2C" w14:textId="6B97637B"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Gao F, Li X, Zhang Y, et al. Mechanistic insights into p53 modulation by base editors in immunotherapy. </w:t>
      </w:r>
      <w:r w:rsidRPr="00253BAA">
        <w:rPr>
          <w:rStyle w:val="Emphasis"/>
          <w:rFonts w:asciiTheme="majorBidi" w:hAnsiTheme="majorBidi" w:cstheme="majorBidi"/>
          <w:sz w:val="22"/>
          <w:szCs w:val="22"/>
        </w:rPr>
        <w:t>J Immunother Cancer</w:t>
      </w:r>
      <w:r w:rsidRPr="00253BAA">
        <w:rPr>
          <w:rFonts w:asciiTheme="majorBidi" w:hAnsiTheme="majorBidi" w:cstheme="majorBidi"/>
          <w:sz w:val="22"/>
          <w:szCs w:val="22"/>
        </w:rPr>
        <w:t>. 2025;13(3):e008765.</w:t>
      </w:r>
    </w:p>
    <w:p w14:paraId="067FAE6F" w14:textId="337A06DE"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Wu L, Jiang S, Shi M, et al. Adenine base editors induce off-target structure variations in mouse embryos and primary human T cells. </w:t>
      </w:r>
      <w:r w:rsidRPr="00253BAA">
        <w:rPr>
          <w:rStyle w:val="Emphasis"/>
          <w:rFonts w:asciiTheme="majorBidi" w:hAnsiTheme="majorBidi" w:cstheme="majorBidi"/>
          <w:sz w:val="22"/>
          <w:szCs w:val="22"/>
        </w:rPr>
        <w:t>Genome Biol</w:t>
      </w:r>
      <w:r w:rsidRPr="00253BAA">
        <w:rPr>
          <w:rFonts w:asciiTheme="majorBidi" w:hAnsiTheme="majorBidi" w:cstheme="majorBidi"/>
          <w:sz w:val="22"/>
          <w:szCs w:val="22"/>
        </w:rPr>
        <w:t>. 2024;25:291.</w:t>
      </w:r>
    </w:p>
    <w:p w14:paraId="6B5380A2" w14:textId="4E4C2C2F"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Zuo E, Sun Y, Yuan T, et al. Cytosine and adenine base editors with minimized RNA off-targets and improved fidelity. </w:t>
      </w:r>
      <w:r w:rsidRPr="00253BAA">
        <w:rPr>
          <w:rStyle w:val="Emphasis"/>
          <w:rFonts w:asciiTheme="majorBidi" w:hAnsiTheme="majorBidi" w:cstheme="majorBidi"/>
          <w:sz w:val="22"/>
          <w:szCs w:val="22"/>
        </w:rPr>
        <w:t>Nat Commun</w:t>
      </w:r>
      <w:r w:rsidRPr="00253BAA">
        <w:rPr>
          <w:rFonts w:asciiTheme="majorBidi" w:hAnsiTheme="majorBidi" w:cstheme="majorBidi"/>
          <w:sz w:val="22"/>
          <w:szCs w:val="22"/>
        </w:rPr>
        <w:t>. 2023;14:1123.</w:t>
      </w:r>
    </w:p>
    <w:p w14:paraId="7D7ABC69" w14:textId="554B8884"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hAnsiTheme="majorBidi" w:cstheme="majorBidi"/>
          <w:sz w:val="22"/>
          <w:szCs w:val="22"/>
        </w:rPr>
        <w:t xml:space="preserve">Liang P, Xu Y, Zhang X, et al. GUIDE-seq reveals reduced off-target activity in ABE-edited T cells. </w:t>
      </w:r>
      <w:r w:rsidRPr="00253BAA">
        <w:rPr>
          <w:rStyle w:val="Emphasis"/>
          <w:rFonts w:asciiTheme="majorBidi" w:hAnsiTheme="majorBidi" w:cstheme="majorBidi"/>
          <w:sz w:val="22"/>
          <w:szCs w:val="22"/>
        </w:rPr>
        <w:t>Nat Biotechnol</w:t>
      </w:r>
      <w:r w:rsidRPr="00253BAA">
        <w:rPr>
          <w:rFonts w:asciiTheme="majorBidi" w:hAnsiTheme="majorBidi" w:cstheme="majorBidi"/>
          <w:sz w:val="22"/>
          <w:szCs w:val="22"/>
        </w:rPr>
        <w:t>. 2024;42(6):612–620.</w:t>
      </w:r>
    </w:p>
    <w:p w14:paraId="689B0832" w14:textId="02329537" w:rsidR="00942273" w:rsidRPr="00253BAA" w:rsidRDefault="00942273" w:rsidP="00A61596">
      <w:pPr>
        <w:pStyle w:val="NormalWeb"/>
        <w:numPr>
          <w:ilvl w:val="0"/>
          <w:numId w:val="7"/>
        </w:numPr>
        <w:spacing w:line="360" w:lineRule="auto"/>
        <w:jc w:val="both"/>
        <w:divId w:val="1372800725"/>
        <w:rPr>
          <w:rFonts w:asciiTheme="majorBidi" w:hAnsiTheme="majorBidi" w:cstheme="majorBidi"/>
          <w:sz w:val="22"/>
          <w:szCs w:val="22"/>
        </w:rPr>
      </w:pPr>
      <w:r w:rsidRPr="00253BAA">
        <w:rPr>
          <w:rFonts w:asciiTheme="majorBidi" w:hAnsiTheme="majorBidi" w:cstheme="majorBidi"/>
          <w:sz w:val="22"/>
          <w:szCs w:val="22"/>
        </w:rPr>
        <w:t xml:space="preserve">Li J, Wang H, Xu Y, et al. Engineering strategies to safely drive CAR T-cells into the future. </w:t>
      </w:r>
      <w:r w:rsidRPr="00253BAA">
        <w:rPr>
          <w:rStyle w:val="Emphasis"/>
          <w:rFonts w:asciiTheme="majorBidi" w:hAnsiTheme="majorBidi" w:cstheme="majorBidi"/>
          <w:sz w:val="22"/>
          <w:szCs w:val="22"/>
        </w:rPr>
        <w:t>Front Immunol</w:t>
      </w:r>
      <w:r w:rsidRPr="00253BAA">
        <w:rPr>
          <w:rFonts w:asciiTheme="majorBidi" w:hAnsiTheme="majorBidi" w:cstheme="majorBidi"/>
          <w:sz w:val="22"/>
          <w:szCs w:val="22"/>
        </w:rPr>
        <w:t>. 2024;15:1411393.</w:t>
      </w:r>
    </w:p>
    <w:p w14:paraId="19BDE11F" w14:textId="77777777" w:rsidR="00D5656B" w:rsidRPr="00253BAA" w:rsidRDefault="00D5656B" w:rsidP="00A61596">
      <w:pPr>
        <w:pStyle w:val="NormalWeb"/>
        <w:numPr>
          <w:ilvl w:val="0"/>
          <w:numId w:val="7"/>
        </w:numPr>
        <w:spacing w:line="360" w:lineRule="auto"/>
        <w:jc w:val="both"/>
        <w:divId w:val="1094016983"/>
        <w:rPr>
          <w:rFonts w:asciiTheme="majorBidi" w:hAnsiTheme="majorBidi" w:cstheme="majorBidi"/>
          <w:sz w:val="22"/>
          <w:szCs w:val="22"/>
        </w:rPr>
      </w:pPr>
      <w:r w:rsidRPr="00253BAA">
        <w:rPr>
          <w:rFonts w:asciiTheme="majorBidi" w:hAnsiTheme="majorBidi" w:cstheme="majorBidi"/>
          <w:sz w:val="22"/>
          <w:szCs w:val="22"/>
        </w:rPr>
        <w:t xml:space="preserve">Chen Y, Wu Z, Li X, et al. ABE-mediated editing enhances CAR-T cell persistence by avoiding p53 activation.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2023;31(5):1124–1136.</w:t>
      </w:r>
    </w:p>
    <w:p w14:paraId="24723390" w14:textId="77777777" w:rsidR="00D5656B" w:rsidRPr="00253BAA" w:rsidRDefault="00D5656B" w:rsidP="00A61596">
      <w:pPr>
        <w:pStyle w:val="NormalWeb"/>
        <w:numPr>
          <w:ilvl w:val="0"/>
          <w:numId w:val="7"/>
        </w:numPr>
        <w:spacing w:line="360" w:lineRule="auto"/>
        <w:jc w:val="both"/>
        <w:divId w:val="1094016983"/>
        <w:rPr>
          <w:rFonts w:asciiTheme="majorBidi" w:hAnsiTheme="majorBidi" w:cstheme="majorBidi"/>
          <w:sz w:val="22"/>
          <w:szCs w:val="22"/>
        </w:rPr>
      </w:pPr>
      <w:r w:rsidRPr="00253BAA">
        <w:rPr>
          <w:rFonts w:asciiTheme="majorBidi" w:hAnsiTheme="majorBidi" w:cstheme="majorBidi"/>
          <w:sz w:val="22"/>
          <w:szCs w:val="22"/>
        </w:rPr>
        <w:t xml:space="preserve">Xie Y, Li M, Zhou C, et al. Quadruple adenine base–edited allogeneic CAR T cells outperform CRISPR counterparts in preclinical models. </w:t>
      </w:r>
      <w:r w:rsidRPr="00253BAA">
        <w:rPr>
          <w:rStyle w:val="Emphasis"/>
          <w:rFonts w:asciiTheme="majorBidi" w:hAnsiTheme="majorBidi" w:cstheme="majorBidi"/>
          <w:sz w:val="22"/>
          <w:szCs w:val="22"/>
        </w:rPr>
        <w:t>Cell Stem Cell</w:t>
      </w:r>
      <w:r w:rsidRPr="00253BAA">
        <w:rPr>
          <w:rFonts w:asciiTheme="majorBidi" w:hAnsiTheme="majorBidi" w:cstheme="majorBidi"/>
          <w:sz w:val="22"/>
          <w:szCs w:val="22"/>
        </w:rPr>
        <w:t>. 2025;28(4):589–603.</w:t>
      </w:r>
    </w:p>
    <w:p w14:paraId="4C30D1DC" w14:textId="77777777" w:rsidR="00D5656B" w:rsidRPr="00253BAA" w:rsidRDefault="00D5656B" w:rsidP="00A61596">
      <w:pPr>
        <w:pStyle w:val="NormalWeb"/>
        <w:numPr>
          <w:ilvl w:val="0"/>
          <w:numId w:val="7"/>
        </w:numPr>
        <w:spacing w:line="360" w:lineRule="auto"/>
        <w:jc w:val="both"/>
        <w:divId w:val="1094016983"/>
        <w:rPr>
          <w:rFonts w:asciiTheme="majorBidi" w:hAnsiTheme="majorBidi" w:cstheme="majorBidi"/>
          <w:sz w:val="22"/>
          <w:szCs w:val="22"/>
        </w:rPr>
      </w:pPr>
      <w:r w:rsidRPr="00253BAA">
        <w:rPr>
          <w:rFonts w:asciiTheme="majorBidi" w:hAnsiTheme="majorBidi" w:cstheme="majorBidi"/>
          <w:sz w:val="22"/>
          <w:szCs w:val="22"/>
        </w:rPr>
        <w:t xml:space="preserve">Bak RO, Dever DP, Porteus MH. Multiplex base editing in CAR-T cells using split-intein ABE systems.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2025;33(2):312–325.</w:t>
      </w:r>
    </w:p>
    <w:p w14:paraId="07EFC7C2" w14:textId="77777777" w:rsidR="00D5656B" w:rsidRPr="00253BAA" w:rsidRDefault="00D5656B" w:rsidP="00A61596">
      <w:pPr>
        <w:pStyle w:val="NormalWeb"/>
        <w:numPr>
          <w:ilvl w:val="0"/>
          <w:numId w:val="7"/>
        </w:numPr>
        <w:spacing w:line="360" w:lineRule="auto"/>
        <w:jc w:val="both"/>
        <w:divId w:val="1094016983"/>
        <w:rPr>
          <w:rFonts w:asciiTheme="majorBidi" w:hAnsiTheme="majorBidi" w:cstheme="majorBidi"/>
          <w:sz w:val="22"/>
          <w:szCs w:val="22"/>
        </w:rPr>
      </w:pPr>
      <w:r w:rsidRPr="00253BAA">
        <w:rPr>
          <w:rFonts w:asciiTheme="majorBidi" w:hAnsiTheme="majorBidi" w:cstheme="majorBidi"/>
          <w:sz w:val="22"/>
          <w:szCs w:val="22"/>
        </w:rPr>
        <w:lastRenderedPageBreak/>
        <w:t xml:space="preserve">Zeng W, Liu H, Chen Y, et al. Base editing of TRAC, B2M, CIITA, and PVR for universal CAR-T cell generation. </w:t>
      </w:r>
      <w:r w:rsidRPr="00253BAA">
        <w:rPr>
          <w:rStyle w:val="Emphasis"/>
          <w:rFonts w:asciiTheme="majorBidi" w:hAnsiTheme="majorBidi" w:cstheme="majorBidi"/>
          <w:sz w:val="22"/>
          <w:szCs w:val="22"/>
        </w:rPr>
        <w:t>Front Immunol</w:t>
      </w:r>
      <w:r w:rsidRPr="00253BAA">
        <w:rPr>
          <w:rFonts w:asciiTheme="majorBidi" w:hAnsiTheme="majorBidi" w:cstheme="majorBidi"/>
          <w:sz w:val="22"/>
          <w:szCs w:val="22"/>
        </w:rPr>
        <w:t>. 2024;15:1420193.</w:t>
      </w:r>
    </w:p>
    <w:p w14:paraId="14CF00FF" w14:textId="77777777" w:rsidR="00D5656B" w:rsidRPr="00253BAA" w:rsidRDefault="00D5656B" w:rsidP="00A61596">
      <w:pPr>
        <w:pStyle w:val="NormalWeb"/>
        <w:numPr>
          <w:ilvl w:val="0"/>
          <w:numId w:val="7"/>
        </w:numPr>
        <w:spacing w:line="360" w:lineRule="auto"/>
        <w:jc w:val="both"/>
        <w:divId w:val="1094016983"/>
        <w:rPr>
          <w:rFonts w:asciiTheme="majorBidi" w:hAnsiTheme="majorBidi" w:cstheme="majorBidi"/>
          <w:sz w:val="22"/>
          <w:szCs w:val="22"/>
        </w:rPr>
      </w:pPr>
      <w:r w:rsidRPr="00253BAA">
        <w:rPr>
          <w:rFonts w:asciiTheme="majorBidi" w:hAnsiTheme="majorBidi" w:cstheme="majorBidi"/>
          <w:sz w:val="22"/>
          <w:szCs w:val="22"/>
        </w:rPr>
        <w:t xml:space="preserve">Gao F, Li X, Zhang Y, et al. Mechanistic insights into p53 modulation by base editors in immunotherapy. </w:t>
      </w:r>
      <w:r w:rsidRPr="00253BAA">
        <w:rPr>
          <w:rStyle w:val="Emphasis"/>
          <w:rFonts w:asciiTheme="majorBidi" w:hAnsiTheme="majorBidi" w:cstheme="majorBidi"/>
          <w:sz w:val="22"/>
          <w:szCs w:val="22"/>
        </w:rPr>
        <w:t>J Immunother Cancer</w:t>
      </w:r>
      <w:r w:rsidRPr="00253BAA">
        <w:rPr>
          <w:rFonts w:asciiTheme="majorBidi" w:hAnsiTheme="majorBidi" w:cstheme="majorBidi"/>
          <w:sz w:val="22"/>
          <w:szCs w:val="22"/>
        </w:rPr>
        <w:t>. 2025;13(3):e008765.</w:t>
      </w:r>
    </w:p>
    <w:p w14:paraId="6465EDDB" w14:textId="77777777" w:rsidR="00D5656B" w:rsidRPr="00253BAA" w:rsidRDefault="00D5656B" w:rsidP="00A61596">
      <w:pPr>
        <w:pStyle w:val="NormalWeb"/>
        <w:numPr>
          <w:ilvl w:val="0"/>
          <w:numId w:val="7"/>
        </w:numPr>
        <w:spacing w:line="360" w:lineRule="auto"/>
        <w:jc w:val="both"/>
        <w:divId w:val="1094016983"/>
        <w:rPr>
          <w:rFonts w:asciiTheme="majorBidi" w:hAnsiTheme="majorBidi" w:cstheme="majorBidi"/>
          <w:sz w:val="22"/>
          <w:szCs w:val="22"/>
        </w:rPr>
      </w:pPr>
      <w:r w:rsidRPr="00253BAA">
        <w:rPr>
          <w:rFonts w:asciiTheme="majorBidi" w:hAnsiTheme="majorBidi" w:cstheme="majorBidi"/>
          <w:sz w:val="22"/>
          <w:szCs w:val="22"/>
        </w:rPr>
        <w:t xml:space="preserve">Wu L, Jiang S, Shi M, et al. Adenine base editors induce off-target structure variations in mouse embryos and primary human T cells. </w:t>
      </w:r>
      <w:r w:rsidRPr="00253BAA">
        <w:rPr>
          <w:rStyle w:val="Emphasis"/>
          <w:rFonts w:asciiTheme="majorBidi" w:hAnsiTheme="majorBidi" w:cstheme="majorBidi"/>
          <w:sz w:val="22"/>
          <w:szCs w:val="22"/>
        </w:rPr>
        <w:t>Genome Biol</w:t>
      </w:r>
      <w:r w:rsidRPr="00253BAA">
        <w:rPr>
          <w:rFonts w:asciiTheme="majorBidi" w:hAnsiTheme="majorBidi" w:cstheme="majorBidi"/>
          <w:sz w:val="22"/>
          <w:szCs w:val="22"/>
        </w:rPr>
        <w:t>. 2024;25:291.</w:t>
      </w:r>
    </w:p>
    <w:p w14:paraId="3562E5BE" w14:textId="77777777" w:rsidR="00D5656B" w:rsidRPr="00253BAA" w:rsidRDefault="00D5656B" w:rsidP="00A61596">
      <w:pPr>
        <w:pStyle w:val="NormalWeb"/>
        <w:numPr>
          <w:ilvl w:val="0"/>
          <w:numId w:val="7"/>
        </w:numPr>
        <w:spacing w:line="360" w:lineRule="auto"/>
        <w:jc w:val="both"/>
        <w:divId w:val="1094016983"/>
        <w:rPr>
          <w:rFonts w:asciiTheme="majorBidi" w:hAnsiTheme="majorBidi" w:cstheme="majorBidi"/>
          <w:sz w:val="22"/>
          <w:szCs w:val="22"/>
        </w:rPr>
      </w:pPr>
      <w:r w:rsidRPr="00253BAA">
        <w:rPr>
          <w:rFonts w:asciiTheme="majorBidi" w:hAnsiTheme="majorBidi" w:cstheme="majorBidi"/>
          <w:sz w:val="22"/>
          <w:szCs w:val="22"/>
        </w:rPr>
        <w:t xml:space="preserve">Mirgayazova R, Khadiullina R, Filimonova M, et al. Impact of TP53 mutations on the efficacy of CAR-T cell therapy in cancer. </w:t>
      </w:r>
      <w:r w:rsidRPr="00253BAA">
        <w:rPr>
          <w:rStyle w:val="Emphasis"/>
          <w:rFonts w:asciiTheme="majorBidi" w:hAnsiTheme="majorBidi" w:cstheme="majorBidi"/>
          <w:sz w:val="22"/>
          <w:szCs w:val="22"/>
        </w:rPr>
        <w:t>Expl Immunol</w:t>
      </w:r>
      <w:r w:rsidRPr="00253BAA">
        <w:rPr>
          <w:rFonts w:asciiTheme="majorBidi" w:hAnsiTheme="majorBidi" w:cstheme="majorBidi"/>
          <w:sz w:val="22"/>
          <w:szCs w:val="22"/>
        </w:rPr>
        <w:t>. 2024;4:837–852.</w:t>
      </w:r>
    </w:p>
    <w:p w14:paraId="78C93801" w14:textId="75368074" w:rsidR="00640713" w:rsidRPr="00253BAA" w:rsidRDefault="00640713" w:rsidP="00A61596">
      <w:pPr>
        <w:pStyle w:val="NormalWeb"/>
        <w:numPr>
          <w:ilvl w:val="0"/>
          <w:numId w:val="7"/>
        </w:numPr>
        <w:spacing w:line="360" w:lineRule="auto"/>
        <w:jc w:val="both"/>
        <w:divId w:val="613512951"/>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Wang D, Tai PW, Gao G. Adeno-associated virus vector delivery for gene therapy. </w:t>
      </w:r>
      <w:r w:rsidRPr="00253BAA">
        <w:rPr>
          <w:rStyle w:val="Emphasis"/>
          <w:rFonts w:asciiTheme="majorBidi" w:hAnsiTheme="majorBidi" w:cstheme="majorBidi"/>
          <w:sz w:val="22"/>
          <w:szCs w:val="22"/>
        </w:rPr>
        <w:t>Nat Rev Drug Discov</w:t>
      </w:r>
      <w:r w:rsidRPr="00253BAA">
        <w:rPr>
          <w:rFonts w:asciiTheme="majorBidi" w:hAnsiTheme="majorBidi" w:cstheme="majorBidi"/>
          <w:sz w:val="22"/>
          <w:szCs w:val="22"/>
        </w:rPr>
        <w:t>. 2023;22(1):65–82.</w:t>
      </w:r>
    </w:p>
    <w:p w14:paraId="5A766F5B" w14:textId="2C189AF5" w:rsidR="00640713" w:rsidRPr="00253BAA" w:rsidRDefault="00640713" w:rsidP="00A61596">
      <w:pPr>
        <w:pStyle w:val="NormalWeb"/>
        <w:numPr>
          <w:ilvl w:val="0"/>
          <w:numId w:val="7"/>
        </w:numPr>
        <w:spacing w:line="360" w:lineRule="auto"/>
        <w:jc w:val="both"/>
        <w:divId w:val="613512951"/>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Hou X, Zaks T, Langer R, Dong Y. Lipid nanoparticles for mRNA delivery. </w:t>
      </w:r>
      <w:r w:rsidRPr="00253BAA">
        <w:rPr>
          <w:rStyle w:val="Emphasis"/>
          <w:rFonts w:asciiTheme="majorBidi" w:hAnsiTheme="majorBidi" w:cstheme="majorBidi"/>
          <w:sz w:val="22"/>
          <w:szCs w:val="22"/>
        </w:rPr>
        <w:t>Nat Rev Mater</w:t>
      </w:r>
      <w:r w:rsidRPr="00253BAA">
        <w:rPr>
          <w:rFonts w:asciiTheme="majorBidi" w:hAnsiTheme="majorBidi" w:cstheme="majorBidi"/>
          <w:sz w:val="22"/>
          <w:szCs w:val="22"/>
        </w:rPr>
        <w:t>. 2023;8(3):239–250.</w:t>
      </w:r>
    </w:p>
    <w:p w14:paraId="0C9ACC9B" w14:textId="6E028247" w:rsidR="00640713" w:rsidRPr="00253BAA" w:rsidRDefault="00640713" w:rsidP="00A61596">
      <w:pPr>
        <w:pStyle w:val="NormalWeb"/>
        <w:numPr>
          <w:ilvl w:val="0"/>
          <w:numId w:val="7"/>
        </w:numPr>
        <w:spacing w:line="360" w:lineRule="auto"/>
        <w:jc w:val="both"/>
        <w:divId w:val="613512951"/>
        <w:rPr>
          <w:rFonts w:asciiTheme="majorBidi" w:hAnsiTheme="majorBidi" w:cstheme="majorBidi"/>
          <w:sz w:val="22"/>
          <w:szCs w:val="22"/>
        </w:rPr>
      </w:pPr>
      <w:r w:rsidRPr="00253BAA">
        <w:rPr>
          <w:rFonts w:asciiTheme="majorBidi" w:hAnsiTheme="majorBidi" w:cstheme="majorBidi"/>
          <w:sz w:val="22"/>
          <w:szCs w:val="22"/>
        </w:rPr>
        <w:t xml:space="preserve">Roth TL, Li PJ, Blaeschke F, et al. Virus-like particles for efficient delivery of base editors to human T cells. </w:t>
      </w:r>
      <w:r w:rsidRPr="00253BAA">
        <w:rPr>
          <w:rStyle w:val="Emphasis"/>
          <w:rFonts w:asciiTheme="majorBidi" w:hAnsiTheme="majorBidi" w:cstheme="majorBidi"/>
          <w:sz w:val="22"/>
          <w:szCs w:val="22"/>
        </w:rPr>
        <w:t>Nat Biotechnol</w:t>
      </w:r>
      <w:r w:rsidRPr="00253BAA">
        <w:rPr>
          <w:rFonts w:asciiTheme="majorBidi" w:hAnsiTheme="majorBidi" w:cstheme="majorBidi"/>
          <w:sz w:val="22"/>
          <w:szCs w:val="22"/>
        </w:rPr>
        <w:t>. 2024;42(2):178–187.</w:t>
      </w:r>
    </w:p>
    <w:p w14:paraId="29A801EB" w14:textId="65A93273" w:rsidR="00640713" w:rsidRPr="00253BAA" w:rsidRDefault="00640713" w:rsidP="00A61596">
      <w:pPr>
        <w:pStyle w:val="NormalWeb"/>
        <w:numPr>
          <w:ilvl w:val="0"/>
          <w:numId w:val="7"/>
        </w:numPr>
        <w:spacing w:line="360" w:lineRule="auto"/>
        <w:jc w:val="both"/>
        <w:divId w:val="613512951"/>
        <w:rPr>
          <w:rFonts w:asciiTheme="majorBidi" w:hAnsiTheme="majorBidi" w:cstheme="majorBidi"/>
          <w:sz w:val="22"/>
          <w:szCs w:val="22"/>
        </w:rPr>
      </w:pPr>
      <w:r w:rsidRPr="00253BAA">
        <w:rPr>
          <w:rFonts w:asciiTheme="majorBidi" w:eastAsia="Times New Roman" w:hAnsiTheme="majorBidi" w:cstheme="majorBidi"/>
          <w:sz w:val="22"/>
          <w:szCs w:val="22"/>
        </w:rPr>
        <w:t xml:space="preserve"> </w:t>
      </w:r>
      <w:r w:rsidRPr="00253BAA">
        <w:rPr>
          <w:rFonts w:asciiTheme="majorBidi" w:hAnsiTheme="majorBidi" w:cstheme="majorBidi"/>
          <w:sz w:val="22"/>
          <w:szCs w:val="22"/>
        </w:rPr>
        <w:t xml:space="preserve">Kim Y, Lee J, Park H, et al. Engineered nucleocytosolic vehicles for programmable editor delivery. </w:t>
      </w:r>
      <w:r w:rsidRPr="00253BAA">
        <w:rPr>
          <w:rStyle w:val="Emphasis"/>
          <w:rFonts w:asciiTheme="majorBidi" w:hAnsiTheme="majorBidi" w:cstheme="majorBidi"/>
          <w:sz w:val="22"/>
          <w:szCs w:val="22"/>
        </w:rPr>
        <w:t>Cell</w:t>
      </w:r>
      <w:r w:rsidRPr="00253BAA">
        <w:rPr>
          <w:rFonts w:asciiTheme="majorBidi" w:hAnsiTheme="majorBidi" w:cstheme="majorBidi"/>
          <w:sz w:val="22"/>
          <w:szCs w:val="22"/>
        </w:rPr>
        <w:t>. 2025;186(7):1352–1367.</w:t>
      </w:r>
    </w:p>
    <w:p w14:paraId="2D5E6346" w14:textId="3BD9A69D" w:rsidR="00640713" w:rsidRPr="00253BAA" w:rsidRDefault="00640713" w:rsidP="00A61596">
      <w:pPr>
        <w:pStyle w:val="NormalWeb"/>
        <w:numPr>
          <w:ilvl w:val="0"/>
          <w:numId w:val="7"/>
        </w:numPr>
        <w:spacing w:line="360" w:lineRule="auto"/>
        <w:jc w:val="both"/>
        <w:divId w:val="613512951"/>
        <w:rPr>
          <w:rFonts w:asciiTheme="majorBidi" w:hAnsiTheme="majorBidi" w:cstheme="majorBidi"/>
          <w:sz w:val="22"/>
          <w:szCs w:val="22"/>
        </w:rPr>
      </w:pPr>
      <w:r w:rsidRPr="00253BAA">
        <w:rPr>
          <w:rFonts w:asciiTheme="majorBidi" w:hAnsiTheme="majorBidi" w:cstheme="majorBidi"/>
          <w:sz w:val="22"/>
          <w:szCs w:val="22"/>
        </w:rPr>
        <w:t xml:space="preserve">Wu L, Jiang S, Shi M, et al. Adenine base editors induce off-target structure variations in mouse embryos and primary human T cells. </w:t>
      </w:r>
      <w:r w:rsidRPr="00253BAA">
        <w:rPr>
          <w:rStyle w:val="Emphasis"/>
          <w:rFonts w:asciiTheme="majorBidi" w:hAnsiTheme="majorBidi" w:cstheme="majorBidi"/>
          <w:sz w:val="22"/>
          <w:szCs w:val="22"/>
        </w:rPr>
        <w:t>Genome Biol</w:t>
      </w:r>
      <w:r w:rsidRPr="00253BAA">
        <w:rPr>
          <w:rFonts w:asciiTheme="majorBidi" w:hAnsiTheme="majorBidi" w:cstheme="majorBidi"/>
          <w:sz w:val="22"/>
          <w:szCs w:val="22"/>
        </w:rPr>
        <w:t>. 2024;25:291.</w:t>
      </w:r>
    </w:p>
    <w:p w14:paraId="1913322C" w14:textId="3A27679E" w:rsidR="00640713" w:rsidRPr="00253BAA" w:rsidRDefault="00640713" w:rsidP="00A61596">
      <w:pPr>
        <w:pStyle w:val="NormalWeb"/>
        <w:numPr>
          <w:ilvl w:val="0"/>
          <w:numId w:val="7"/>
        </w:numPr>
        <w:spacing w:line="360" w:lineRule="auto"/>
        <w:jc w:val="both"/>
        <w:divId w:val="613512951"/>
        <w:rPr>
          <w:rFonts w:asciiTheme="majorBidi" w:hAnsiTheme="majorBidi" w:cstheme="majorBidi"/>
          <w:sz w:val="22"/>
          <w:szCs w:val="22"/>
        </w:rPr>
      </w:pPr>
      <w:r w:rsidRPr="00253BAA">
        <w:rPr>
          <w:rFonts w:asciiTheme="majorBidi" w:hAnsiTheme="majorBidi" w:cstheme="majorBidi"/>
          <w:sz w:val="22"/>
          <w:szCs w:val="22"/>
        </w:rPr>
        <w:t xml:space="preserve">Zuo E, Sun Y, Yuan T, et al. Cytosine and adenine base editors with minimized RNA off-targets and improved fidelity. </w:t>
      </w:r>
      <w:r w:rsidRPr="00253BAA">
        <w:rPr>
          <w:rStyle w:val="Emphasis"/>
          <w:rFonts w:asciiTheme="majorBidi" w:hAnsiTheme="majorBidi" w:cstheme="majorBidi"/>
          <w:sz w:val="22"/>
          <w:szCs w:val="22"/>
        </w:rPr>
        <w:t>Nat Commun</w:t>
      </w:r>
      <w:r w:rsidRPr="00253BAA">
        <w:rPr>
          <w:rFonts w:asciiTheme="majorBidi" w:hAnsiTheme="majorBidi" w:cstheme="majorBidi"/>
          <w:sz w:val="22"/>
          <w:szCs w:val="22"/>
        </w:rPr>
        <w:t>. 2023;14:1123.</w:t>
      </w:r>
    </w:p>
    <w:p w14:paraId="10788F3D" w14:textId="546D643B" w:rsidR="00640713" w:rsidRPr="00253BAA" w:rsidRDefault="00640713" w:rsidP="00A61596">
      <w:pPr>
        <w:pStyle w:val="NormalWeb"/>
        <w:numPr>
          <w:ilvl w:val="0"/>
          <w:numId w:val="7"/>
        </w:numPr>
        <w:spacing w:line="360" w:lineRule="auto"/>
        <w:jc w:val="both"/>
        <w:divId w:val="613512951"/>
        <w:rPr>
          <w:rFonts w:asciiTheme="majorBidi" w:hAnsiTheme="majorBidi" w:cstheme="majorBidi"/>
          <w:sz w:val="22"/>
          <w:szCs w:val="22"/>
        </w:rPr>
      </w:pPr>
      <w:r w:rsidRPr="00253BAA">
        <w:rPr>
          <w:rFonts w:asciiTheme="majorBidi" w:hAnsiTheme="majorBidi" w:cstheme="majorBidi"/>
          <w:sz w:val="22"/>
          <w:szCs w:val="22"/>
        </w:rPr>
        <w:t xml:space="preserve">Liang P, Xu Y, Zhang X, et al. GUIDE-seq reveals reduced off-target activity in ABE-edited T cells. </w:t>
      </w:r>
      <w:r w:rsidRPr="00253BAA">
        <w:rPr>
          <w:rStyle w:val="Emphasis"/>
          <w:rFonts w:asciiTheme="majorBidi" w:hAnsiTheme="majorBidi" w:cstheme="majorBidi"/>
          <w:sz w:val="22"/>
          <w:szCs w:val="22"/>
        </w:rPr>
        <w:t>Nat Biotechnol</w:t>
      </w:r>
      <w:r w:rsidRPr="00253BAA">
        <w:rPr>
          <w:rFonts w:asciiTheme="majorBidi" w:hAnsiTheme="majorBidi" w:cstheme="majorBidi"/>
          <w:sz w:val="22"/>
          <w:szCs w:val="22"/>
        </w:rPr>
        <w:t>. 2024;42(6):612–620.</w:t>
      </w:r>
    </w:p>
    <w:p w14:paraId="7C1BD50C" w14:textId="19C3A928" w:rsidR="00640713" w:rsidRPr="00253BAA" w:rsidRDefault="00640713" w:rsidP="00A61596">
      <w:pPr>
        <w:pStyle w:val="NormalWeb"/>
        <w:numPr>
          <w:ilvl w:val="0"/>
          <w:numId w:val="7"/>
        </w:numPr>
        <w:spacing w:line="360" w:lineRule="auto"/>
        <w:jc w:val="both"/>
        <w:divId w:val="613512951"/>
        <w:rPr>
          <w:rFonts w:asciiTheme="majorBidi" w:hAnsiTheme="majorBidi" w:cstheme="majorBidi"/>
          <w:sz w:val="22"/>
          <w:szCs w:val="22"/>
        </w:rPr>
      </w:pPr>
      <w:r w:rsidRPr="00253BAA">
        <w:rPr>
          <w:rFonts w:asciiTheme="majorBidi" w:hAnsiTheme="majorBidi" w:cstheme="majorBidi"/>
          <w:sz w:val="22"/>
          <w:szCs w:val="22"/>
        </w:rPr>
        <w:t xml:space="preserve">Bak RO, Dever DP, Porteus MH. Split-intein base editors for controlled editing in CAR-T cells.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2025;33(2):312–325.</w:t>
      </w:r>
    </w:p>
    <w:p w14:paraId="52C92EE9" w14:textId="3A674E8B" w:rsidR="00640713" w:rsidRPr="00253BAA" w:rsidRDefault="00640713" w:rsidP="00A61596">
      <w:pPr>
        <w:pStyle w:val="NormalWeb"/>
        <w:numPr>
          <w:ilvl w:val="0"/>
          <w:numId w:val="7"/>
        </w:numPr>
        <w:spacing w:line="360" w:lineRule="auto"/>
        <w:jc w:val="both"/>
        <w:divId w:val="613512951"/>
        <w:rPr>
          <w:rFonts w:asciiTheme="majorBidi" w:hAnsiTheme="majorBidi" w:cstheme="majorBidi"/>
          <w:sz w:val="22"/>
          <w:szCs w:val="22"/>
        </w:rPr>
      </w:pPr>
      <w:r w:rsidRPr="00253BAA">
        <w:rPr>
          <w:rFonts w:asciiTheme="majorBidi" w:hAnsiTheme="majorBidi" w:cstheme="majorBidi"/>
          <w:sz w:val="22"/>
          <w:szCs w:val="22"/>
        </w:rPr>
        <w:t xml:space="preserve">Zhang Y, Liu Q, Chen Y, et al. BE-Hive: computational prediction of base editing outcomes. </w:t>
      </w:r>
      <w:r w:rsidRPr="00253BAA">
        <w:rPr>
          <w:rStyle w:val="Emphasis"/>
          <w:rFonts w:asciiTheme="majorBidi" w:hAnsiTheme="majorBidi" w:cstheme="majorBidi"/>
          <w:sz w:val="22"/>
          <w:szCs w:val="22"/>
        </w:rPr>
        <w:t>Nat Methods</w:t>
      </w:r>
      <w:r w:rsidRPr="00253BAA">
        <w:rPr>
          <w:rFonts w:asciiTheme="majorBidi" w:hAnsiTheme="majorBidi" w:cstheme="majorBidi"/>
          <w:sz w:val="22"/>
          <w:szCs w:val="22"/>
        </w:rPr>
        <w:t>. 2023;20(4):456–464.</w:t>
      </w:r>
    </w:p>
    <w:p w14:paraId="3BECC1E8" w14:textId="354EFA35" w:rsidR="00685BB7" w:rsidRPr="00253BAA" w:rsidRDefault="00640713" w:rsidP="00DD512E">
      <w:pPr>
        <w:pStyle w:val="NormalWeb"/>
        <w:numPr>
          <w:ilvl w:val="0"/>
          <w:numId w:val="7"/>
        </w:numPr>
        <w:spacing w:line="360" w:lineRule="auto"/>
        <w:ind w:left="714" w:hanging="357"/>
        <w:contextualSpacing/>
        <w:jc w:val="both"/>
        <w:divId w:val="613512951"/>
        <w:rPr>
          <w:rFonts w:asciiTheme="majorBidi" w:hAnsiTheme="majorBidi" w:cstheme="majorBidi"/>
          <w:sz w:val="22"/>
          <w:szCs w:val="22"/>
        </w:rPr>
      </w:pPr>
      <w:r w:rsidRPr="00253BAA">
        <w:rPr>
          <w:rFonts w:asciiTheme="majorBidi" w:hAnsiTheme="majorBidi" w:cstheme="majorBidi"/>
          <w:sz w:val="22"/>
          <w:szCs w:val="22"/>
        </w:rPr>
        <w:t xml:space="preserve">Lee H, Park S, Kim J, et al. DeepBE: deep learning-based prediction of base editor specificity. </w:t>
      </w:r>
      <w:r w:rsidRPr="00253BAA">
        <w:rPr>
          <w:rStyle w:val="Emphasis"/>
          <w:rFonts w:asciiTheme="majorBidi" w:hAnsiTheme="majorBidi" w:cstheme="majorBidi"/>
          <w:sz w:val="22"/>
          <w:szCs w:val="22"/>
        </w:rPr>
        <w:t>Genome Res</w:t>
      </w:r>
      <w:r w:rsidRPr="00253BAA">
        <w:rPr>
          <w:rFonts w:asciiTheme="majorBidi" w:hAnsiTheme="majorBidi" w:cstheme="majorBidi"/>
          <w:sz w:val="22"/>
          <w:szCs w:val="22"/>
        </w:rPr>
        <w:t>. 2024;34(1):88–97.</w:t>
      </w:r>
    </w:p>
    <w:p w14:paraId="04D7C5FD" w14:textId="77777777" w:rsidR="00685BB7" w:rsidRPr="00253BAA" w:rsidRDefault="00685BB7" w:rsidP="00DD512E">
      <w:pPr>
        <w:pStyle w:val="NormalWeb"/>
        <w:numPr>
          <w:ilvl w:val="0"/>
          <w:numId w:val="9"/>
        </w:numPr>
        <w:spacing w:line="360" w:lineRule="auto"/>
        <w:ind w:left="714" w:hanging="357"/>
        <w:contextualSpacing/>
        <w:jc w:val="both"/>
        <w:divId w:val="424154153"/>
        <w:rPr>
          <w:rFonts w:asciiTheme="majorBidi" w:hAnsiTheme="majorBidi" w:cstheme="majorBidi"/>
          <w:sz w:val="22"/>
          <w:szCs w:val="22"/>
        </w:rPr>
      </w:pPr>
      <w:r w:rsidRPr="00253BAA">
        <w:rPr>
          <w:rFonts w:asciiTheme="majorBidi" w:hAnsiTheme="majorBidi" w:cstheme="majorBidi"/>
          <w:sz w:val="22"/>
          <w:szCs w:val="22"/>
        </w:rPr>
        <w:t xml:space="preserve">Gaudelli NM, Komor AC, Rees HA, et al. Directed evolution of high-fidelity adenine base editors. </w:t>
      </w:r>
      <w:r w:rsidRPr="00253BAA">
        <w:rPr>
          <w:rStyle w:val="Emphasis"/>
          <w:rFonts w:asciiTheme="majorBidi" w:hAnsiTheme="majorBidi" w:cstheme="majorBidi"/>
          <w:sz w:val="22"/>
          <w:szCs w:val="22"/>
        </w:rPr>
        <w:t>Nature</w:t>
      </w:r>
      <w:r w:rsidRPr="00253BAA">
        <w:rPr>
          <w:rFonts w:asciiTheme="majorBidi" w:hAnsiTheme="majorBidi" w:cstheme="majorBidi"/>
          <w:sz w:val="22"/>
          <w:szCs w:val="22"/>
        </w:rPr>
        <w:t>. 2023;615(7952):343–350.</w:t>
      </w:r>
    </w:p>
    <w:p w14:paraId="64D3332E" w14:textId="77777777" w:rsidR="00685BB7" w:rsidRPr="00253BAA" w:rsidRDefault="00685BB7" w:rsidP="00A61596">
      <w:pPr>
        <w:pStyle w:val="NormalWeb"/>
        <w:numPr>
          <w:ilvl w:val="0"/>
          <w:numId w:val="9"/>
        </w:numPr>
        <w:spacing w:line="360" w:lineRule="auto"/>
        <w:jc w:val="both"/>
        <w:divId w:val="424154153"/>
        <w:rPr>
          <w:rFonts w:asciiTheme="majorBidi" w:hAnsiTheme="majorBidi" w:cstheme="majorBidi"/>
          <w:sz w:val="22"/>
          <w:szCs w:val="22"/>
        </w:rPr>
      </w:pPr>
      <w:r w:rsidRPr="00253BAA">
        <w:rPr>
          <w:rFonts w:asciiTheme="majorBidi" w:hAnsiTheme="majorBidi" w:cstheme="majorBidi"/>
          <w:sz w:val="22"/>
          <w:szCs w:val="22"/>
        </w:rPr>
        <w:t xml:space="preserve">Kim Y, Lee J, Park H, et al. Self-limiting base editors for controlled editing in immune cells. </w:t>
      </w:r>
      <w:r w:rsidRPr="00253BAA">
        <w:rPr>
          <w:rStyle w:val="Emphasis"/>
          <w:rFonts w:asciiTheme="majorBidi" w:hAnsiTheme="majorBidi" w:cstheme="majorBidi"/>
          <w:sz w:val="22"/>
          <w:szCs w:val="22"/>
        </w:rPr>
        <w:t>Cell</w:t>
      </w:r>
      <w:r w:rsidRPr="00253BAA">
        <w:rPr>
          <w:rFonts w:asciiTheme="majorBidi" w:hAnsiTheme="majorBidi" w:cstheme="majorBidi"/>
          <w:sz w:val="22"/>
          <w:szCs w:val="22"/>
        </w:rPr>
        <w:t>. 2025;186(7):1352–1367.</w:t>
      </w:r>
    </w:p>
    <w:p w14:paraId="155F555D" w14:textId="77777777" w:rsidR="00685BB7" w:rsidRPr="00253BAA" w:rsidRDefault="00685BB7" w:rsidP="00A61596">
      <w:pPr>
        <w:pStyle w:val="NormalWeb"/>
        <w:numPr>
          <w:ilvl w:val="0"/>
          <w:numId w:val="9"/>
        </w:numPr>
        <w:spacing w:line="360" w:lineRule="auto"/>
        <w:jc w:val="both"/>
        <w:divId w:val="424154153"/>
        <w:rPr>
          <w:rFonts w:asciiTheme="majorBidi" w:hAnsiTheme="majorBidi" w:cstheme="majorBidi"/>
          <w:sz w:val="22"/>
          <w:szCs w:val="22"/>
        </w:rPr>
      </w:pPr>
      <w:r w:rsidRPr="00253BAA">
        <w:rPr>
          <w:rFonts w:asciiTheme="majorBidi" w:hAnsiTheme="majorBidi" w:cstheme="majorBidi"/>
          <w:sz w:val="22"/>
          <w:szCs w:val="22"/>
        </w:rPr>
        <w:t xml:space="preserve">Liang P, Xu Y, Zhang X, et al. GUIDE-seq reveals reduced off-target activity in ABE-edited T cells. </w:t>
      </w:r>
      <w:r w:rsidRPr="00253BAA">
        <w:rPr>
          <w:rStyle w:val="Emphasis"/>
          <w:rFonts w:asciiTheme="majorBidi" w:hAnsiTheme="majorBidi" w:cstheme="majorBidi"/>
          <w:sz w:val="22"/>
          <w:szCs w:val="22"/>
        </w:rPr>
        <w:t>Nat Biotechnol</w:t>
      </w:r>
      <w:r w:rsidRPr="00253BAA">
        <w:rPr>
          <w:rFonts w:asciiTheme="majorBidi" w:hAnsiTheme="majorBidi" w:cstheme="majorBidi"/>
          <w:sz w:val="22"/>
          <w:szCs w:val="22"/>
        </w:rPr>
        <w:t>. 2024;42(6):612–620.</w:t>
      </w:r>
    </w:p>
    <w:p w14:paraId="055A889C" w14:textId="77777777" w:rsidR="00685BB7" w:rsidRPr="00253BAA" w:rsidRDefault="00685BB7" w:rsidP="00A61596">
      <w:pPr>
        <w:pStyle w:val="NormalWeb"/>
        <w:numPr>
          <w:ilvl w:val="0"/>
          <w:numId w:val="9"/>
        </w:numPr>
        <w:spacing w:line="360" w:lineRule="auto"/>
        <w:jc w:val="both"/>
        <w:divId w:val="424154153"/>
        <w:rPr>
          <w:rFonts w:asciiTheme="majorBidi" w:hAnsiTheme="majorBidi" w:cstheme="majorBidi"/>
          <w:sz w:val="22"/>
          <w:szCs w:val="22"/>
        </w:rPr>
      </w:pPr>
      <w:r w:rsidRPr="00253BAA">
        <w:rPr>
          <w:rFonts w:asciiTheme="majorBidi" w:hAnsiTheme="majorBidi" w:cstheme="majorBidi"/>
          <w:sz w:val="22"/>
          <w:szCs w:val="22"/>
        </w:rPr>
        <w:t xml:space="preserve">Wu L, Jiang S, Shi M, et al. Long-read sequencing uncovers structural variants in base-edited T cells. </w:t>
      </w:r>
      <w:r w:rsidRPr="00253BAA">
        <w:rPr>
          <w:rStyle w:val="Emphasis"/>
          <w:rFonts w:asciiTheme="majorBidi" w:hAnsiTheme="majorBidi" w:cstheme="majorBidi"/>
          <w:sz w:val="22"/>
          <w:szCs w:val="22"/>
        </w:rPr>
        <w:t>Genome Biol</w:t>
      </w:r>
      <w:r w:rsidRPr="00253BAA">
        <w:rPr>
          <w:rFonts w:asciiTheme="majorBidi" w:hAnsiTheme="majorBidi" w:cstheme="majorBidi"/>
          <w:sz w:val="22"/>
          <w:szCs w:val="22"/>
        </w:rPr>
        <w:t>. 2024;25:291.</w:t>
      </w:r>
    </w:p>
    <w:p w14:paraId="7D378882" w14:textId="77777777" w:rsidR="00685BB7" w:rsidRPr="00253BAA" w:rsidRDefault="00685BB7" w:rsidP="00A61596">
      <w:pPr>
        <w:pStyle w:val="NormalWeb"/>
        <w:numPr>
          <w:ilvl w:val="0"/>
          <w:numId w:val="9"/>
        </w:numPr>
        <w:spacing w:line="360" w:lineRule="auto"/>
        <w:jc w:val="both"/>
        <w:divId w:val="424154153"/>
        <w:rPr>
          <w:rFonts w:asciiTheme="majorBidi" w:hAnsiTheme="majorBidi" w:cstheme="majorBidi"/>
          <w:sz w:val="22"/>
          <w:szCs w:val="22"/>
        </w:rPr>
      </w:pPr>
      <w:r w:rsidRPr="00253BAA">
        <w:rPr>
          <w:rFonts w:asciiTheme="majorBidi" w:hAnsiTheme="majorBidi" w:cstheme="majorBidi"/>
          <w:sz w:val="22"/>
          <w:szCs w:val="22"/>
        </w:rPr>
        <w:lastRenderedPageBreak/>
        <w:t xml:space="preserve">Abudayyeh OO, Gootenberg JS. Cas13-based RNA editing and diagnostics. </w:t>
      </w:r>
      <w:r w:rsidRPr="00253BAA">
        <w:rPr>
          <w:rStyle w:val="Emphasis"/>
          <w:rFonts w:asciiTheme="majorBidi" w:hAnsiTheme="majorBidi" w:cstheme="majorBidi"/>
          <w:sz w:val="22"/>
          <w:szCs w:val="22"/>
        </w:rPr>
        <w:t>Science</w:t>
      </w:r>
      <w:r w:rsidRPr="00253BAA">
        <w:rPr>
          <w:rFonts w:asciiTheme="majorBidi" w:hAnsiTheme="majorBidi" w:cstheme="majorBidi"/>
          <w:sz w:val="22"/>
          <w:szCs w:val="22"/>
        </w:rPr>
        <w:t>. 2023;380(6648):eabc5573.</w:t>
      </w:r>
    </w:p>
    <w:p w14:paraId="567CDA23" w14:textId="77777777" w:rsidR="00685BB7" w:rsidRPr="00253BAA" w:rsidRDefault="00685BB7" w:rsidP="00A61596">
      <w:pPr>
        <w:pStyle w:val="NormalWeb"/>
        <w:numPr>
          <w:ilvl w:val="0"/>
          <w:numId w:val="9"/>
        </w:numPr>
        <w:spacing w:line="360" w:lineRule="auto"/>
        <w:jc w:val="both"/>
        <w:divId w:val="424154153"/>
        <w:rPr>
          <w:rFonts w:asciiTheme="majorBidi" w:hAnsiTheme="majorBidi" w:cstheme="majorBidi"/>
          <w:sz w:val="22"/>
          <w:szCs w:val="22"/>
        </w:rPr>
      </w:pPr>
      <w:r w:rsidRPr="00253BAA">
        <w:rPr>
          <w:rFonts w:asciiTheme="majorBidi" w:hAnsiTheme="majorBidi" w:cstheme="majorBidi"/>
          <w:sz w:val="22"/>
          <w:szCs w:val="22"/>
        </w:rPr>
        <w:t xml:space="preserve">Konermann S, Brigham MD, Trevino AE, et al. CRISPRa and CRISPRi for programmable gene regulation. </w:t>
      </w:r>
      <w:r w:rsidRPr="00253BAA">
        <w:rPr>
          <w:rStyle w:val="Emphasis"/>
          <w:rFonts w:asciiTheme="majorBidi" w:hAnsiTheme="majorBidi" w:cstheme="majorBidi"/>
          <w:sz w:val="22"/>
          <w:szCs w:val="22"/>
        </w:rPr>
        <w:t>Nature</w:t>
      </w:r>
      <w:r w:rsidRPr="00253BAA">
        <w:rPr>
          <w:rFonts w:asciiTheme="majorBidi" w:hAnsiTheme="majorBidi" w:cstheme="majorBidi"/>
          <w:sz w:val="22"/>
          <w:szCs w:val="22"/>
        </w:rPr>
        <w:t>. 2023;617(7960):112–120.</w:t>
      </w:r>
    </w:p>
    <w:p w14:paraId="0EC954BF" w14:textId="77777777" w:rsidR="00685BB7" w:rsidRPr="00253BAA" w:rsidRDefault="00685BB7" w:rsidP="00A61596">
      <w:pPr>
        <w:pStyle w:val="NormalWeb"/>
        <w:numPr>
          <w:ilvl w:val="0"/>
          <w:numId w:val="9"/>
        </w:numPr>
        <w:spacing w:line="360" w:lineRule="auto"/>
        <w:jc w:val="both"/>
        <w:divId w:val="424154153"/>
        <w:rPr>
          <w:rFonts w:asciiTheme="majorBidi" w:hAnsiTheme="majorBidi" w:cstheme="majorBidi"/>
          <w:sz w:val="22"/>
          <w:szCs w:val="22"/>
        </w:rPr>
      </w:pPr>
      <w:r w:rsidRPr="00253BAA">
        <w:rPr>
          <w:rFonts w:asciiTheme="majorBidi" w:hAnsiTheme="majorBidi" w:cstheme="majorBidi"/>
          <w:sz w:val="22"/>
          <w:szCs w:val="22"/>
        </w:rPr>
        <w:t xml:space="preserve">Wang Q, Zhang L, Zhou Y, et al. Hybrid base editing and CRISPRa/i platforms for immune cell reprogramming. </w:t>
      </w:r>
      <w:r w:rsidRPr="00253BAA">
        <w:rPr>
          <w:rStyle w:val="Emphasis"/>
          <w:rFonts w:asciiTheme="majorBidi" w:hAnsiTheme="majorBidi" w:cstheme="majorBidi"/>
          <w:sz w:val="22"/>
          <w:szCs w:val="22"/>
        </w:rPr>
        <w:t>Mol Ther</w:t>
      </w:r>
      <w:r w:rsidRPr="00253BAA">
        <w:rPr>
          <w:rFonts w:asciiTheme="majorBidi" w:hAnsiTheme="majorBidi" w:cstheme="majorBidi"/>
          <w:sz w:val="22"/>
          <w:szCs w:val="22"/>
        </w:rPr>
        <w:t>. 2025;33(4):789–803.</w:t>
      </w:r>
    </w:p>
    <w:p w14:paraId="0A514F6C" w14:textId="77777777" w:rsidR="000F337E" w:rsidRPr="00253BAA" w:rsidRDefault="000F337E" w:rsidP="00874678">
      <w:pPr>
        <w:pStyle w:val="NormalWeb"/>
        <w:spacing w:line="360" w:lineRule="auto"/>
        <w:ind w:left="360"/>
        <w:divId w:val="1011103818"/>
        <w:rPr>
          <w:rFonts w:asciiTheme="majorBidi" w:hAnsiTheme="majorBidi" w:cstheme="majorBidi"/>
        </w:rPr>
      </w:pPr>
    </w:p>
    <w:sectPr w:rsidR="000F337E" w:rsidRPr="00253BAA" w:rsidSect="00A773B0">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EF7C0" w14:textId="77777777" w:rsidR="00FA0F52" w:rsidRDefault="00FA0F52" w:rsidP="000C4E2B">
      <w:pPr>
        <w:spacing w:after="0" w:line="240" w:lineRule="auto"/>
      </w:pPr>
      <w:r>
        <w:separator/>
      </w:r>
    </w:p>
  </w:endnote>
  <w:endnote w:type="continuationSeparator" w:id="0">
    <w:p w14:paraId="23C99EBA" w14:textId="77777777" w:rsidR="00FA0F52" w:rsidRDefault="00FA0F52" w:rsidP="000C4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840F7" w14:textId="77777777" w:rsidR="00FA0F52" w:rsidRDefault="00FA0F52" w:rsidP="000C4E2B">
      <w:pPr>
        <w:spacing w:after="0" w:line="240" w:lineRule="auto"/>
      </w:pPr>
      <w:r>
        <w:separator/>
      </w:r>
    </w:p>
  </w:footnote>
  <w:footnote w:type="continuationSeparator" w:id="0">
    <w:p w14:paraId="5B0B00A0" w14:textId="77777777" w:rsidR="00FA0F52" w:rsidRDefault="00FA0F52" w:rsidP="000C4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81C95"/>
    <w:multiLevelType w:val="hybridMultilevel"/>
    <w:tmpl w:val="317CC44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C7C31"/>
    <w:multiLevelType w:val="multilevel"/>
    <w:tmpl w:val="5A20F72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9686D"/>
    <w:multiLevelType w:val="multilevel"/>
    <w:tmpl w:val="FFFFFFFF"/>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65C6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046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75A6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7A6B3F"/>
    <w:multiLevelType w:val="hybridMultilevel"/>
    <w:tmpl w:val="12023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875ADA"/>
    <w:multiLevelType w:val="multilevel"/>
    <w:tmpl w:val="FFFFFFFF"/>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E907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220224"/>
    <w:multiLevelType w:val="hybridMultilevel"/>
    <w:tmpl w:val="90184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4"/>
  </w:num>
  <w:num w:numId="5">
    <w:abstractNumId w:val="5"/>
  </w:num>
  <w:num w:numId="6">
    <w:abstractNumId w:val="0"/>
  </w:num>
  <w:num w:numId="7">
    <w:abstractNumId w:val="3"/>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E2B"/>
    <w:rsid w:val="0002373E"/>
    <w:rsid w:val="0003075D"/>
    <w:rsid w:val="000316C3"/>
    <w:rsid w:val="000366FC"/>
    <w:rsid w:val="00041253"/>
    <w:rsid w:val="00055618"/>
    <w:rsid w:val="000638CB"/>
    <w:rsid w:val="00074FDD"/>
    <w:rsid w:val="0007748E"/>
    <w:rsid w:val="00080AB0"/>
    <w:rsid w:val="00084311"/>
    <w:rsid w:val="00097AAF"/>
    <w:rsid w:val="000A06D4"/>
    <w:rsid w:val="000A2297"/>
    <w:rsid w:val="000B3EE2"/>
    <w:rsid w:val="000C205E"/>
    <w:rsid w:val="000C30C7"/>
    <w:rsid w:val="000C4E2B"/>
    <w:rsid w:val="000D5C77"/>
    <w:rsid w:val="000E0AE4"/>
    <w:rsid w:val="000F31DF"/>
    <w:rsid w:val="000F337E"/>
    <w:rsid w:val="00104282"/>
    <w:rsid w:val="00117487"/>
    <w:rsid w:val="0013275E"/>
    <w:rsid w:val="0013542C"/>
    <w:rsid w:val="00135634"/>
    <w:rsid w:val="00141AEA"/>
    <w:rsid w:val="00142D6B"/>
    <w:rsid w:val="001445DE"/>
    <w:rsid w:val="00152012"/>
    <w:rsid w:val="00152D84"/>
    <w:rsid w:val="00153A88"/>
    <w:rsid w:val="00157B33"/>
    <w:rsid w:val="001601B5"/>
    <w:rsid w:val="00160B66"/>
    <w:rsid w:val="00164332"/>
    <w:rsid w:val="0019071C"/>
    <w:rsid w:val="001A10BA"/>
    <w:rsid w:val="001B1B8D"/>
    <w:rsid w:val="001F266E"/>
    <w:rsid w:val="001F678F"/>
    <w:rsid w:val="002015B3"/>
    <w:rsid w:val="00222350"/>
    <w:rsid w:val="00225A48"/>
    <w:rsid w:val="002321F0"/>
    <w:rsid w:val="002426BF"/>
    <w:rsid w:val="002444E5"/>
    <w:rsid w:val="0024493F"/>
    <w:rsid w:val="002503C0"/>
    <w:rsid w:val="00253BAA"/>
    <w:rsid w:val="00255E4F"/>
    <w:rsid w:val="0026229B"/>
    <w:rsid w:val="00262D0D"/>
    <w:rsid w:val="00264A76"/>
    <w:rsid w:val="00273BF2"/>
    <w:rsid w:val="00276A8B"/>
    <w:rsid w:val="00277F3C"/>
    <w:rsid w:val="00280EF2"/>
    <w:rsid w:val="002852A4"/>
    <w:rsid w:val="00291069"/>
    <w:rsid w:val="00296FD5"/>
    <w:rsid w:val="002976BE"/>
    <w:rsid w:val="002A3D45"/>
    <w:rsid w:val="002B5C60"/>
    <w:rsid w:val="002C6DBA"/>
    <w:rsid w:val="002E2222"/>
    <w:rsid w:val="002E60B4"/>
    <w:rsid w:val="002F2722"/>
    <w:rsid w:val="002F3859"/>
    <w:rsid w:val="00304758"/>
    <w:rsid w:val="00305B95"/>
    <w:rsid w:val="00323786"/>
    <w:rsid w:val="00326A7D"/>
    <w:rsid w:val="003367EF"/>
    <w:rsid w:val="00337BB0"/>
    <w:rsid w:val="0034720A"/>
    <w:rsid w:val="00360BB4"/>
    <w:rsid w:val="003613ED"/>
    <w:rsid w:val="0037562E"/>
    <w:rsid w:val="00384E7B"/>
    <w:rsid w:val="003954A3"/>
    <w:rsid w:val="003956BD"/>
    <w:rsid w:val="003A0EA2"/>
    <w:rsid w:val="003A3EE1"/>
    <w:rsid w:val="003A70D8"/>
    <w:rsid w:val="003B006E"/>
    <w:rsid w:val="003C519E"/>
    <w:rsid w:val="003E7689"/>
    <w:rsid w:val="003F2E8C"/>
    <w:rsid w:val="003F54A9"/>
    <w:rsid w:val="00410FC3"/>
    <w:rsid w:val="00416797"/>
    <w:rsid w:val="00425052"/>
    <w:rsid w:val="004356A6"/>
    <w:rsid w:val="00446BD4"/>
    <w:rsid w:val="00452AC4"/>
    <w:rsid w:val="00465F91"/>
    <w:rsid w:val="00471611"/>
    <w:rsid w:val="00473B82"/>
    <w:rsid w:val="004870C7"/>
    <w:rsid w:val="004912FB"/>
    <w:rsid w:val="004A709D"/>
    <w:rsid w:val="004E03E7"/>
    <w:rsid w:val="0050169F"/>
    <w:rsid w:val="00506911"/>
    <w:rsid w:val="00513959"/>
    <w:rsid w:val="005155BD"/>
    <w:rsid w:val="00517691"/>
    <w:rsid w:val="00535D4A"/>
    <w:rsid w:val="00551BB9"/>
    <w:rsid w:val="00570778"/>
    <w:rsid w:val="00576A52"/>
    <w:rsid w:val="00584D81"/>
    <w:rsid w:val="0058520B"/>
    <w:rsid w:val="00585EA2"/>
    <w:rsid w:val="00597445"/>
    <w:rsid w:val="005B5478"/>
    <w:rsid w:val="005C7EA3"/>
    <w:rsid w:val="005D481F"/>
    <w:rsid w:val="005E05E1"/>
    <w:rsid w:val="005E31FE"/>
    <w:rsid w:val="005F15C0"/>
    <w:rsid w:val="0060174A"/>
    <w:rsid w:val="00604755"/>
    <w:rsid w:val="00623062"/>
    <w:rsid w:val="006402D7"/>
    <w:rsid w:val="00640713"/>
    <w:rsid w:val="00643A57"/>
    <w:rsid w:val="00644E48"/>
    <w:rsid w:val="00645CEF"/>
    <w:rsid w:val="00657310"/>
    <w:rsid w:val="00685BB7"/>
    <w:rsid w:val="00687865"/>
    <w:rsid w:val="006A05D6"/>
    <w:rsid w:val="006A5AA0"/>
    <w:rsid w:val="006A5C04"/>
    <w:rsid w:val="006D450B"/>
    <w:rsid w:val="006D5CDC"/>
    <w:rsid w:val="007228A1"/>
    <w:rsid w:val="00732BA6"/>
    <w:rsid w:val="00733B55"/>
    <w:rsid w:val="00735C20"/>
    <w:rsid w:val="00744FCA"/>
    <w:rsid w:val="0074651B"/>
    <w:rsid w:val="0075482F"/>
    <w:rsid w:val="00771ECD"/>
    <w:rsid w:val="00775490"/>
    <w:rsid w:val="007905C3"/>
    <w:rsid w:val="007A177A"/>
    <w:rsid w:val="007C200B"/>
    <w:rsid w:val="007D2EBC"/>
    <w:rsid w:val="007D4C9C"/>
    <w:rsid w:val="007E3080"/>
    <w:rsid w:val="007E4D8D"/>
    <w:rsid w:val="007F3C57"/>
    <w:rsid w:val="00826591"/>
    <w:rsid w:val="00830DCC"/>
    <w:rsid w:val="00834348"/>
    <w:rsid w:val="008367B9"/>
    <w:rsid w:val="00842F53"/>
    <w:rsid w:val="00844E6C"/>
    <w:rsid w:val="00853495"/>
    <w:rsid w:val="00874678"/>
    <w:rsid w:val="00897CEC"/>
    <w:rsid w:val="008C44CD"/>
    <w:rsid w:val="008C6857"/>
    <w:rsid w:val="008F7E98"/>
    <w:rsid w:val="00915B35"/>
    <w:rsid w:val="00921C01"/>
    <w:rsid w:val="009330F2"/>
    <w:rsid w:val="0094170E"/>
    <w:rsid w:val="00942273"/>
    <w:rsid w:val="00956CCC"/>
    <w:rsid w:val="009705F0"/>
    <w:rsid w:val="00970A39"/>
    <w:rsid w:val="00991C8B"/>
    <w:rsid w:val="00997C80"/>
    <w:rsid w:val="009A780D"/>
    <w:rsid w:val="009C2ECF"/>
    <w:rsid w:val="009C4F49"/>
    <w:rsid w:val="009C7577"/>
    <w:rsid w:val="009E1090"/>
    <w:rsid w:val="009F5F08"/>
    <w:rsid w:val="00A0576E"/>
    <w:rsid w:val="00A15139"/>
    <w:rsid w:val="00A220D8"/>
    <w:rsid w:val="00A26298"/>
    <w:rsid w:val="00A301B3"/>
    <w:rsid w:val="00A34A26"/>
    <w:rsid w:val="00A5131D"/>
    <w:rsid w:val="00A61596"/>
    <w:rsid w:val="00A66B97"/>
    <w:rsid w:val="00A773B0"/>
    <w:rsid w:val="00A850EE"/>
    <w:rsid w:val="00A91499"/>
    <w:rsid w:val="00AA3473"/>
    <w:rsid w:val="00AA3D75"/>
    <w:rsid w:val="00AB1C35"/>
    <w:rsid w:val="00AB514F"/>
    <w:rsid w:val="00B02ED0"/>
    <w:rsid w:val="00B10C03"/>
    <w:rsid w:val="00B2734F"/>
    <w:rsid w:val="00B3011E"/>
    <w:rsid w:val="00B33850"/>
    <w:rsid w:val="00B3424C"/>
    <w:rsid w:val="00B364D8"/>
    <w:rsid w:val="00B467C4"/>
    <w:rsid w:val="00B5346C"/>
    <w:rsid w:val="00B6084C"/>
    <w:rsid w:val="00B64CBF"/>
    <w:rsid w:val="00B65560"/>
    <w:rsid w:val="00B70573"/>
    <w:rsid w:val="00B767A9"/>
    <w:rsid w:val="00B868B1"/>
    <w:rsid w:val="00B91135"/>
    <w:rsid w:val="00B92191"/>
    <w:rsid w:val="00B929AE"/>
    <w:rsid w:val="00BA4225"/>
    <w:rsid w:val="00BA7B1F"/>
    <w:rsid w:val="00BD2349"/>
    <w:rsid w:val="00BE1934"/>
    <w:rsid w:val="00BF1E32"/>
    <w:rsid w:val="00BF1E72"/>
    <w:rsid w:val="00C20D9D"/>
    <w:rsid w:val="00C20DE0"/>
    <w:rsid w:val="00C3353B"/>
    <w:rsid w:val="00C406E0"/>
    <w:rsid w:val="00C414B7"/>
    <w:rsid w:val="00C44404"/>
    <w:rsid w:val="00C50E36"/>
    <w:rsid w:val="00C57013"/>
    <w:rsid w:val="00CB2751"/>
    <w:rsid w:val="00CB6298"/>
    <w:rsid w:val="00CC7E38"/>
    <w:rsid w:val="00CE764F"/>
    <w:rsid w:val="00D0041D"/>
    <w:rsid w:val="00D25B9A"/>
    <w:rsid w:val="00D26601"/>
    <w:rsid w:val="00D36AE1"/>
    <w:rsid w:val="00D503E9"/>
    <w:rsid w:val="00D5656B"/>
    <w:rsid w:val="00D64702"/>
    <w:rsid w:val="00D82804"/>
    <w:rsid w:val="00D83FA9"/>
    <w:rsid w:val="00DA170D"/>
    <w:rsid w:val="00DA4C6B"/>
    <w:rsid w:val="00DA553D"/>
    <w:rsid w:val="00DB2F3C"/>
    <w:rsid w:val="00DB7261"/>
    <w:rsid w:val="00DB7A16"/>
    <w:rsid w:val="00DC3680"/>
    <w:rsid w:val="00DC4395"/>
    <w:rsid w:val="00DD1A4E"/>
    <w:rsid w:val="00DD512E"/>
    <w:rsid w:val="00DE53AD"/>
    <w:rsid w:val="00E00127"/>
    <w:rsid w:val="00E01FD7"/>
    <w:rsid w:val="00E27898"/>
    <w:rsid w:val="00E3371C"/>
    <w:rsid w:val="00E521A3"/>
    <w:rsid w:val="00E63721"/>
    <w:rsid w:val="00E67BBB"/>
    <w:rsid w:val="00E751D4"/>
    <w:rsid w:val="00E833E1"/>
    <w:rsid w:val="00E84DDE"/>
    <w:rsid w:val="00E979CB"/>
    <w:rsid w:val="00EC6E39"/>
    <w:rsid w:val="00ED1B99"/>
    <w:rsid w:val="00EF1F7F"/>
    <w:rsid w:val="00F007C2"/>
    <w:rsid w:val="00F15275"/>
    <w:rsid w:val="00F26CFB"/>
    <w:rsid w:val="00F26F49"/>
    <w:rsid w:val="00F37F04"/>
    <w:rsid w:val="00F91570"/>
    <w:rsid w:val="00FA0F52"/>
    <w:rsid w:val="00FA132C"/>
    <w:rsid w:val="00FA659C"/>
    <w:rsid w:val="00FC6FF8"/>
    <w:rsid w:val="00FC77BA"/>
    <w:rsid w:val="00FD0B3D"/>
    <w:rsid w:val="00FD79EA"/>
    <w:rsid w:val="00FE4B48"/>
    <w:rsid w:val="00FE4E43"/>
    <w:rsid w:val="00FF438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6F71"/>
  <w15:chartTrackingRefBased/>
  <w15:docId w15:val="{21577269-77B3-334D-8CCE-206B82D1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0C4E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4E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4E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C4E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4E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4E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E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E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E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E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4E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4E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4E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4E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4E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E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E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E2B"/>
    <w:rPr>
      <w:rFonts w:eastAsiaTheme="majorEastAsia" w:cstheme="majorBidi"/>
      <w:color w:val="272727" w:themeColor="text1" w:themeTint="D8"/>
    </w:rPr>
  </w:style>
  <w:style w:type="paragraph" w:styleId="Title">
    <w:name w:val="Title"/>
    <w:basedOn w:val="Normal"/>
    <w:next w:val="Normal"/>
    <w:link w:val="TitleChar"/>
    <w:uiPriority w:val="10"/>
    <w:qFormat/>
    <w:rsid w:val="000C4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E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E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E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E2B"/>
    <w:pPr>
      <w:spacing w:before="160"/>
      <w:jc w:val="center"/>
    </w:pPr>
    <w:rPr>
      <w:i/>
      <w:iCs/>
      <w:color w:val="404040" w:themeColor="text1" w:themeTint="BF"/>
    </w:rPr>
  </w:style>
  <w:style w:type="character" w:customStyle="1" w:styleId="QuoteChar">
    <w:name w:val="Quote Char"/>
    <w:basedOn w:val="DefaultParagraphFont"/>
    <w:link w:val="Quote"/>
    <w:uiPriority w:val="29"/>
    <w:rsid w:val="000C4E2B"/>
    <w:rPr>
      <w:i/>
      <w:iCs/>
      <w:color w:val="404040" w:themeColor="text1" w:themeTint="BF"/>
    </w:rPr>
  </w:style>
  <w:style w:type="paragraph" w:styleId="ListParagraph">
    <w:name w:val="List Paragraph"/>
    <w:basedOn w:val="Normal"/>
    <w:uiPriority w:val="34"/>
    <w:qFormat/>
    <w:rsid w:val="000C4E2B"/>
    <w:pPr>
      <w:ind w:left="720"/>
      <w:contextualSpacing/>
    </w:pPr>
  </w:style>
  <w:style w:type="character" w:styleId="IntenseEmphasis">
    <w:name w:val="Intense Emphasis"/>
    <w:basedOn w:val="DefaultParagraphFont"/>
    <w:uiPriority w:val="21"/>
    <w:qFormat/>
    <w:rsid w:val="000C4E2B"/>
    <w:rPr>
      <w:i/>
      <w:iCs/>
      <w:color w:val="0F4761" w:themeColor="accent1" w:themeShade="BF"/>
    </w:rPr>
  </w:style>
  <w:style w:type="paragraph" w:styleId="IntenseQuote">
    <w:name w:val="Intense Quote"/>
    <w:basedOn w:val="Normal"/>
    <w:next w:val="Normal"/>
    <w:link w:val="IntenseQuoteChar"/>
    <w:uiPriority w:val="30"/>
    <w:qFormat/>
    <w:rsid w:val="000C4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4E2B"/>
    <w:rPr>
      <w:i/>
      <w:iCs/>
      <w:color w:val="0F4761" w:themeColor="accent1" w:themeShade="BF"/>
    </w:rPr>
  </w:style>
  <w:style w:type="character" w:styleId="IntenseReference">
    <w:name w:val="Intense Reference"/>
    <w:basedOn w:val="DefaultParagraphFont"/>
    <w:uiPriority w:val="32"/>
    <w:qFormat/>
    <w:rsid w:val="000C4E2B"/>
    <w:rPr>
      <w:b/>
      <w:bCs/>
      <w:smallCaps/>
      <w:color w:val="0F4761" w:themeColor="accent1" w:themeShade="BF"/>
      <w:spacing w:val="5"/>
    </w:rPr>
  </w:style>
  <w:style w:type="paragraph" w:styleId="NormalWeb">
    <w:name w:val="Normal (Web)"/>
    <w:basedOn w:val="Normal"/>
    <w:uiPriority w:val="99"/>
    <w:unhideWhenUsed/>
    <w:rsid w:val="000C4E2B"/>
    <w:pPr>
      <w:bidi w:val="0"/>
      <w:spacing w:before="100" w:beforeAutospacing="1" w:after="100" w:afterAutospacing="1" w:line="240" w:lineRule="auto"/>
    </w:pPr>
    <w:rPr>
      <w:rFonts w:ascii="Times New Roman" w:hAnsi="Times New Roman" w:cs="Times New Roman"/>
      <w:kern w:val="0"/>
      <w14:ligatures w14:val="none"/>
    </w:rPr>
  </w:style>
  <w:style w:type="character" w:styleId="Emphasis">
    <w:name w:val="Emphasis"/>
    <w:basedOn w:val="DefaultParagraphFont"/>
    <w:uiPriority w:val="20"/>
    <w:qFormat/>
    <w:rsid w:val="000C4E2B"/>
    <w:rPr>
      <w:i/>
      <w:iCs/>
    </w:rPr>
  </w:style>
  <w:style w:type="character" w:styleId="Strong">
    <w:name w:val="Strong"/>
    <w:basedOn w:val="DefaultParagraphFont"/>
    <w:uiPriority w:val="22"/>
    <w:qFormat/>
    <w:rsid w:val="000C4E2B"/>
    <w:rPr>
      <w:b/>
      <w:bCs/>
    </w:rPr>
  </w:style>
  <w:style w:type="paragraph" w:styleId="Header">
    <w:name w:val="header"/>
    <w:basedOn w:val="Normal"/>
    <w:link w:val="HeaderChar"/>
    <w:uiPriority w:val="99"/>
    <w:unhideWhenUsed/>
    <w:rsid w:val="000C4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E2B"/>
  </w:style>
  <w:style w:type="paragraph" w:styleId="Footer">
    <w:name w:val="footer"/>
    <w:basedOn w:val="Normal"/>
    <w:link w:val="FooterChar"/>
    <w:uiPriority w:val="99"/>
    <w:unhideWhenUsed/>
    <w:rsid w:val="000C4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E2B"/>
  </w:style>
  <w:style w:type="character" w:customStyle="1" w:styleId="mord">
    <w:name w:val="mord"/>
    <w:basedOn w:val="DefaultParagraphFont"/>
    <w:rsid w:val="00DC4395"/>
  </w:style>
  <w:style w:type="character" w:customStyle="1" w:styleId="math-inline">
    <w:name w:val="math-inline"/>
    <w:basedOn w:val="DefaultParagraphFont"/>
    <w:rsid w:val="00771ECD"/>
  </w:style>
  <w:style w:type="table" w:styleId="TableGrid">
    <w:name w:val="Table Grid"/>
    <w:basedOn w:val="TableNormal"/>
    <w:uiPriority w:val="39"/>
    <w:rsid w:val="00F9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62D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3">
    <w:name w:val="Grid Table 1 Light Accent 3"/>
    <w:basedOn w:val="TableNormal"/>
    <w:uiPriority w:val="46"/>
    <w:rsid w:val="00262D0D"/>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262D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2D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2D0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2D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97C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853495"/>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5349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85349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7905C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032">
      <w:bodyDiv w:val="1"/>
      <w:marLeft w:val="0"/>
      <w:marRight w:val="0"/>
      <w:marTop w:val="0"/>
      <w:marBottom w:val="0"/>
      <w:divBdr>
        <w:top w:val="none" w:sz="0" w:space="0" w:color="auto"/>
        <w:left w:val="none" w:sz="0" w:space="0" w:color="auto"/>
        <w:bottom w:val="none" w:sz="0" w:space="0" w:color="auto"/>
        <w:right w:val="none" w:sz="0" w:space="0" w:color="auto"/>
      </w:divBdr>
    </w:div>
    <w:div w:id="406853242">
      <w:bodyDiv w:val="1"/>
      <w:marLeft w:val="0"/>
      <w:marRight w:val="0"/>
      <w:marTop w:val="0"/>
      <w:marBottom w:val="0"/>
      <w:divBdr>
        <w:top w:val="none" w:sz="0" w:space="0" w:color="auto"/>
        <w:left w:val="none" w:sz="0" w:space="0" w:color="auto"/>
        <w:bottom w:val="none" w:sz="0" w:space="0" w:color="auto"/>
        <w:right w:val="none" w:sz="0" w:space="0" w:color="auto"/>
      </w:divBdr>
    </w:div>
    <w:div w:id="475072756">
      <w:bodyDiv w:val="1"/>
      <w:marLeft w:val="0"/>
      <w:marRight w:val="0"/>
      <w:marTop w:val="0"/>
      <w:marBottom w:val="0"/>
      <w:divBdr>
        <w:top w:val="none" w:sz="0" w:space="0" w:color="auto"/>
        <w:left w:val="none" w:sz="0" w:space="0" w:color="auto"/>
        <w:bottom w:val="none" w:sz="0" w:space="0" w:color="auto"/>
        <w:right w:val="none" w:sz="0" w:space="0" w:color="auto"/>
      </w:divBdr>
    </w:div>
    <w:div w:id="628898106">
      <w:bodyDiv w:val="1"/>
      <w:marLeft w:val="0"/>
      <w:marRight w:val="0"/>
      <w:marTop w:val="0"/>
      <w:marBottom w:val="0"/>
      <w:divBdr>
        <w:top w:val="none" w:sz="0" w:space="0" w:color="auto"/>
        <w:left w:val="none" w:sz="0" w:space="0" w:color="auto"/>
        <w:bottom w:val="none" w:sz="0" w:space="0" w:color="auto"/>
        <w:right w:val="none" w:sz="0" w:space="0" w:color="auto"/>
      </w:divBdr>
      <w:divsChild>
        <w:div w:id="1971596611">
          <w:marLeft w:val="0"/>
          <w:marRight w:val="0"/>
          <w:marTop w:val="0"/>
          <w:marBottom w:val="0"/>
          <w:divBdr>
            <w:top w:val="none" w:sz="0" w:space="0" w:color="auto"/>
            <w:left w:val="none" w:sz="0" w:space="0" w:color="auto"/>
            <w:bottom w:val="none" w:sz="0" w:space="0" w:color="auto"/>
            <w:right w:val="none" w:sz="0" w:space="0" w:color="auto"/>
          </w:divBdr>
          <w:divsChild>
            <w:div w:id="308023904">
              <w:marLeft w:val="0"/>
              <w:marRight w:val="0"/>
              <w:marTop w:val="0"/>
              <w:marBottom w:val="0"/>
              <w:divBdr>
                <w:top w:val="none" w:sz="0" w:space="0" w:color="auto"/>
                <w:left w:val="none" w:sz="0" w:space="0" w:color="auto"/>
                <w:bottom w:val="none" w:sz="0" w:space="0" w:color="auto"/>
                <w:right w:val="none" w:sz="0" w:space="0" w:color="auto"/>
              </w:divBdr>
            </w:div>
          </w:divsChild>
        </w:div>
        <w:div w:id="562713283">
          <w:marLeft w:val="0"/>
          <w:marRight w:val="0"/>
          <w:marTop w:val="0"/>
          <w:marBottom w:val="0"/>
          <w:divBdr>
            <w:top w:val="none" w:sz="0" w:space="0" w:color="auto"/>
            <w:left w:val="none" w:sz="0" w:space="0" w:color="auto"/>
            <w:bottom w:val="none" w:sz="0" w:space="0" w:color="auto"/>
            <w:right w:val="none" w:sz="0" w:space="0" w:color="auto"/>
          </w:divBdr>
          <w:divsChild>
            <w:div w:id="81398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3818">
      <w:bodyDiv w:val="1"/>
      <w:marLeft w:val="0"/>
      <w:marRight w:val="0"/>
      <w:marTop w:val="0"/>
      <w:marBottom w:val="0"/>
      <w:divBdr>
        <w:top w:val="none" w:sz="0" w:space="0" w:color="auto"/>
        <w:left w:val="none" w:sz="0" w:space="0" w:color="auto"/>
        <w:bottom w:val="none" w:sz="0" w:space="0" w:color="auto"/>
        <w:right w:val="none" w:sz="0" w:space="0" w:color="auto"/>
      </w:divBdr>
      <w:divsChild>
        <w:div w:id="1818186056">
          <w:marLeft w:val="0"/>
          <w:marRight w:val="0"/>
          <w:marTop w:val="0"/>
          <w:marBottom w:val="0"/>
          <w:divBdr>
            <w:top w:val="none" w:sz="0" w:space="0" w:color="auto"/>
            <w:left w:val="none" w:sz="0" w:space="0" w:color="auto"/>
            <w:bottom w:val="none" w:sz="0" w:space="0" w:color="auto"/>
            <w:right w:val="none" w:sz="0" w:space="0" w:color="auto"/>
          </w:divBdr>
        </w:div>
        <w:div w:id="2069567471">
          <w:marLeft w:val="0"/>
          <w:marRight w:val="0"/>
          <w:marTop w:val="0"/>
          <w:marBottom w:val="0"/>
          <w:divBdr>
            <w:top w:val="none" w:sz="0" w:space="0" w:color="auto"/>
            <w:left w:val="none" w:sz="0" w:space="0" w:color="auto"/>
            <w:bottom w:val="none" w:sz="0" w:space="0" w:color="auto"/>
            <w:right w:val="none" w:sz="0" w:space="0" w:color="auto"/>
          </w:divBdr>
        </w:div>
        <w:div w:id="1372800725">
          <w:marLeft w:val="0"/>
          <w:marRight w:val="0"/>
          <w:marTop w:val="0"/>
          <w:marBottom w:val="0"/>
          <w:divBdr>
            <w:top w:val="none" w:sz="0" w:space="0" w:color="auto"/>
            <w:left w:val="none" w:sz="0" w:space="0" w:color="auto"/>
            <w:bottom w:val="none" w:sz="0" w:space="0" w:color="auto"/>
            <w:right w:val="none" w:sz="0" w:space="0" w:color="auto"/>
          </w:divBdr>
        </w:div>
        <w:div w:id="1094016983">
          <w:marLeft w:val="0"/>
          <w:marRight w:val="0"/>
          <w:marTop w:val="0"/>
          <w:marBottom w:val="0"/>
          <w:divBdr>
            <w:top w:val="none" w:sz="0" w:space="0" w:color="auto"/>
            <w:left w:val="none" w:sz="0" w:space="0" w:color="auto"/>
            <w:bottom w:val="none" w:sz="0" w:space="0" w:color="auto"/>
            <w:right w:val="none" w:sz="0" w:space="0" w:color="auto"/>
          </w:divBdr>
        </w:div>
        <w:div w:id="613512951">
          <w:marLeft w:val="0"/>
          <w:marRight w:val="0"/>
          <w:marTop w:val="0"/>
          <w:marBottom w:val="0"/>
          <w:divBdr>
            <w:top w:val="none" w:sz="0" w:space="0" w:color="auto"/>
            <w:left w:val="none" w:sz="0" w:space="0" w:color="auto"/>
            <w:bottom w:val="none" w:sz="0" w:space="0" w:color="auto"/>
            <w:right w:val="none" w:sz="0" w:space="0" w:color="auto"/>
          </w:divBdr>
        </w:div>
        <w:div w:id="424154153">
          <w:marLeft w:val="0"/>
          <w:marRight w:val="0"/>
          <w:marTop w:val="0"/>
          <w:marBottom w:val="0"/>
          <w:divBdr>
            <w:top w:val="none" w:sz="0" w:space="0" w:color="auto"/>
            <w:left w:val="none" w:sz="0" w:space="0" w:color="auto"/>
            <w:bottom w:val="none" w:sz="0" w:space="0" w:color="auto"/>
            <w:right w:val="none" w:sz="0" w:space="0" w:color="auto"/>
          </w:divBdr>
        </w:div>
      </w:divsChild>
    </w:div>
    <w:div w:id="1176269380">
      <w:bodyDiv w:val="1"/>
      <w:marLeft w:val="0"/>
      <w:marRight w:val="0"/>
      <w:marTop w:val="0"/>
      <w:marBottom w:val="0"/>
      <w:divBdr>
        <w:top w:val="none" w:sz="0" w:space="0" w:color="auto"/>
        <w:left w:val="none" w:sz="0" w:space="0" w:color="auto"/>
        <w:bottom w:val="none" w:sz="0" w:space="0" w:color="auto"/>
        <w:right w:val="none" w:sz="0" w:space="0" w:color="auto"/>
      </w:divBdr>
    </w:div>
    <w:div w:id="1179738880">
      <w:bodyDiv w:val="1"/>
      <w:marLeft w:val="0"/>
      <w:marRight w:val="0"/>
      <w:marTop w:val="0"/>
      <w:marBottom w:val="0"/>
      <w:divBdr>
        <w:top w:val="none" w:sz="0" w:space="0" w:color="auto"/>
        <w:left w:val="none" w:sz="0" w:space="0" w:color="auto"/>
        <w:bottom w:val="none" w:sz="0" w:space="0" w:color="auto"/>
        <w:right w:val="none" w:sz="0" w:space="0" w:color="auto"/>
      </w:divBdr>
      <w:divsChild>
        <w:div w:id="1833257638">
          <w:marLeft w:val="0"/>
          <w:marRight w:val="0"/>
          <w:marTop w:val="0"/>
          <w:marBottom w:val="0"/>
          <w:divBdr>
            <w:top w:val="none" w:sz="0" w:space="0" w:color="auto"/>
            <w:left w:val="none" w:sz="0" w:space="0" w:color="auto"/>
            <w:bottom w:val="none" w:sz="0" w:space="0" w:color="auto"/>
            <w:right w:val="none" w:sz="0" w:space="0" w:color="auto"/>
          </w:divBdr>
          <w:divsChild>
            <w:div w:id="92781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1249">
      <w:bodyDiv w:val="1"/>
      <w:marLeft w:val="0"/>
      <w:marRight w:val="0"/>
      <w:marTop w:val="0"/>
      <w:marBottom w:val="0"/>
      <w:divBdr>
        <w:top w:val="none" w:sz="0" w:space="0" w:color="auto"/>
        <w:left w:val="none" w:sz="0" w:space="0" w:color="auto"/>
        <w:bottom w:val="none" w:sz="0" w:space="0" w:color="auto"/>
        <w:right w:val="none" w:sz="0" w:space="0" w:color="auto"/>
      </w:divBdr>
    </w:div>
    <w:div w:id="1606694022">
      <w:bodyDiv w:val="1"/>
      <w:marLeft w:val="0"/>
      <w:marRight w:val="0"/>
      <w:marTop w:val="0"/>
      <w:marBottom w:val="0"/>
      <w:divBdr>
        <w:top w:val="none" w:sz="0" w:space="0" w:color="auto"/>
        <w:left w:val="none" w:sz="0" w:space="0" w:color="auto"/>
        <w:bottom w:val="none" w:sz="0" w:space="0" w:color="auto"/>
        <w:right w:val="none" w:sz="0" w:space="0" w:color="auto"/>
      </w:divBdr>
      <w:divsChild>
        <w:div w:id="1720203763">
          <w:marLeft w:val="0"/>
          <w:marRight w:val="0"/>
          <w:marTop w:val="0"/>
          <w:marBottom w:val="0"/>
          <w:divBdr>
            <w:top w:val="none" w:sz="0" w:space="0" w:color="auto"/>
            <w:left w:val="none" w:sz="0" w:space="0" w:color="auto"/>
            <w:bottom w:val="none" w:sz="0" w:space="0" w:color="auto"/>
            <w:right w:val="none" w:sz="0" w:space="0" w:color="auto"/>
          </w:divBdr>
          <w:divsChild>
            <w:div w:id="18401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508">
      <w:bodyDiv w:val="1"/>
      <w:marLeft w:val="0"/>
      <w:marRight w:val="0"/>
      <w:marTop w:val="0"/>
      <w:marBottom w:val="0"/>
      <w:divBdr>
        <w:top w:val="none" w:sz="0" w:space="0" w:color="auto"/>
        <w:left w:val="none" w:sz="0" w:space="0" w:color="auto"/>
        <w:bottom w:val="none" w:sz="0" w:space="0" w:color="auto"/>
        <w:right w:val="none" w:sz="0" w:space="0" w:color="auto"/>
      </w:divBdr>
    </w:div>
    <w:div w:id="1846477878">
      <w:bodyDiv w:val="1"/>
      <w:marLeft w:val="0"/>
      <w:marRight w:val="0"/>
      <w:marTop w:val="0"/>
      <w:marBottom w:val="0"/>
      <w:divBdr>
        <w:top w:val="none" w:sz="0" w:space="0" w:color="auto"/>
        <w:left w:val="none" w:sz="0" w:space="0" w:color="auto"/>
        <w:bottom w:val="none" w:sz="0" w:space="0" w:color="auto"/>
        <w:right w:val="none" w:sz="0" w:space="0" w:color="auto"/>
      </w:divBdr>
    </w:div>
    <w:div w:id="1879315687">
      <w:bodyDiv w:val="1"/>
      <w:marLeft w:val="0"/>
      <w:marRight w:val="0"/>
      <w:marTop w:val="0"/>
      <w:marBottom w:val="0"/>
      <w:divBdr>
        <w:top w:val="none" w:sz="0" w:space="0" w:color="auto"/>
        <w:left w:val="none" w:sz="0" w:space="0" w:color="auto"/>
        <w:bottom w:val="none" w:sz="0" w:space="0" w:color="auto"/>
        <w:right w:val="none" w:sz="0" w:space="0" w:color="auto"/>
      </w:divBdr>
    </w:div>
    <w:div w:id="1954285884">
      <w:bodyDiv w:val="1"/>
      <w:marLeft w:val="0"/>
      <w:marRight w:val="0"/>
      <w:marTop w:val="0"/>
      <w:marBottom w:val="0"/>
      <w:divBdr>
        <w:top w:val="none" w:sz="0" w:space="0" w:color="auto"/>
        <w:left w:val="none" w:sz="0" w:space="0" w:color="auto"/>
        <w:bottom w:val="none" w:sz="0" w:space="0" w:color="auto"/>
        <w:right w:val="none" w:sz="0" w:space="0" w:color="auto"/>
      </w:divBdr>
      <w:divsChild>
        <w:div w:id="777795066">
          <w:marLeft w:val="0"/>
          <w:marRight w:val="0"/>
          <w:marTop w:val="0"/>
          <w:marBottom w:val="0"/>
          <w:divBdr>
            <w:top w:val="none" w:sz="0" w:space="0" w:color="auto"/>
            <w:left w:val="none" w:sz="0" w:space="0" w:color="auto"/>
            <w:bottom w:val="none" w:sz="0" w:space="0" w:color="auto"/>
            <w:right w:val="none" w:sz="0" w:space="0" w:color="auto"/>
          </w:divBdr>
        </w:div>
      </w:divsChild>
    </w:div>
    <w:div w:id="199039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دفتر کار">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4959</Words>
  <Characters>28272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سپهر رضایی</dc:creator>
  <cp:keywords/>
  <dc:description/>
  <cp:lastModifiedBy>Veniz</cp:lastModifiedBy>
  <cp:revision>2</cp:revision>
  <dcterms:created xsi:type="dcterms:W3CDTF">2025-11-20T12:38:00Z</dcterms:created>
  <dcterms:modified xsi:type="dcterms:W3CDTF">2025-11-20T12:38:00Z</dcterms:modified>
</cp:coreProperties>
</file>