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24E1AB" w14:textId="45111B08" w:rsidR="008B5978" w:rsidRPr="00856ECB" w:rsidRDefault="008B5978" w:rsidP="009A0C39">
      <w:pPr>
        <w:ind w:left="720" w:hanging="360"/>
        <w:jc w:val="both"/>
        <w:rPr>
          <w:rFonts w:asciiTheme="majorBidi" w:hAnsiTheme="majorBidi" w:cstheme="majorBidi"/>
          <w:rtl/>
          <w:lang w:bidi="fa-IR"/>
        </w:rPr>
      </w:pPr>
    </w:p>
    <w:p w14:paraId="266C51E2" w14:textId="0AC3360B" w:rsidR="00241C58" w:rsidRDefault="00241C58" w:rsidP="009A0C39">
      <w:pPr>
        <w:pStyle w:val="Title"/>
        <w:jc w:val="both"/>
        <w:rPr>
          <w:rFonts w:asciiTheme="majorBidi" w:hAnsiTheme="majorBidi"/>
          <w:b/>
          <w:bCs/>
          <w:sz w:val="24"/>
          <w:szCs w:val="24"/>
        </w:rPr>
      </w:pPr>
      <w:r w:rsidRPr="005251EF">
        <w:rPr>
          <w:rFonts w:asciiTheme="majorBidi" w:hAnsiTheme="majorBidi"/>
          <w:b/>
          <w:bCs/>
          <w:sz w:val="24"/>
          <w:szCs w:val="24"/>
        </w:rPr>
        <w:t xml:space="preserve">Biotechnological Approaches to Probiotic and </w:t>
      </w:r>
      <w:proofErr w:type="spellStart"/>
      <w:r w:rsidRPr="005251EF">
        <w:rPr>
          <w:rFonts w:asciiTheme="majorBidi" w:hAnsiTheme="majorBidi"/>
          <w:b/>
          <w:bCs/>
          <w:sz w:val="24"/>
          <w:szCs w:val="24"/>
        </w:rPr>
        <w:t>Postbiotic</w:t>
      </w:r>
      <w:proofErr w:type="spellEnd"/>
      <w:r w:rsidRPr="005251EF">
        <w:rPr>
          <w:rFonts w:asciiTheme="majorBidi" w:hAnsiTheme="majorBidi"/>
          <w:b/>
          <w:bCs/>
          <w:sz w:val="24"/>
          <w:szCs w:val="24"/>
        </w:rPr>
        <w:t xml:space="preserve"> Therapies through the Gut-Brain Axis</w:t>
      </w:r>
    </w:p>
    <w:p w14:paraId="250B3BC1" w14:textId="3B002F55" w:rsidR="00012639" w:rsidRDefault="00012639" w:rsidP="00012639"/>
    <w:p w14:paraId="168E1EB9" w14:textId="77777777" w:rsidR="00082D8C" w:rsidRDefault="00082D8C" w:rsidP="009A0C39">
      <w:pPr>
        <w:ind w:left="720" w:hanging="360"/>
        <w:jc w:val="both"/>
        <w:rPr>
          <w:rFonts w:asciiTheme="majorBidi" w:hAnsiTheme="majorBidi" w:cstheme="majorBidi"/>
          <w:b/>
          <w:bCs/>
          <w:color w:val="000000" w:themeColor="text1"/>
          <w:lang w:bidi="fa-IR"/>
        </w:rPr>
      </w:pPr>
    </w:p>
    <w:p w14:paraId="653D49D7" w14:textId="77777777" w:rsidR="00082D8C" w:rsidRDefault="00082D8C" w:rsidP="009A0C39">
      <w:pPr>
        <w:ind w:left="720" w:hanging="360"/>
        <w:jc w:val="both"/>
        <w:rPr>
          <w:rFonts w:asciiTheme="majorBidi" w:hAnsiTheme="majorBidi" w:cstheme="majorBidi"/>
          <w:b/>
          <w:bCs/>
          <w:color w:val="000000" w:themeColor="text1"/>
          <w:lang w:bidi="fa-IR"/>
        </w:rPr>
      </w:pPr>
    </w:p>
    <w:p w14:paraId="7B46A481" w14:textId="77777777" w:rsidR="00082D8C" w:rsidRDefault="00082D8C" w:rsidP="009A0C39">
      <w:pPr>
        <w:ind w:left="720" w:hanging="360"/>
        <w:jc w:val="both"/>
        <w:rPr>
          <w:rFonts w:asciiTheme="majorBidi" w:hAnsiTheme="majorBidi" w:cstheme="majorBidi"/>
          <w:b/>
          <w:bCs/>
          <w:color w:val="000000" w:themeColor="text1"/>
          <w:lang w:bidi="fa-IR"/>
        </w:rPr>
      </w:pPr>
    </w:p>
    <w:p w14:paraId="23930AB8" w14:textId="78BCF538" w:rsidR="004819E0" w:rsidRPr="008B5AB2" w:rsidRDefault="003D1460" w:rsidP="009A0C39">
      <w:pPr>
        <w:ind w:left="720" w:hanging="360"/>
        <w:jc w:val="both"/>
        <w:rPr>
          <w:rFonts w:asciiTheme="majorBidi" w:hAnsiTheme="majorBidi" w:cstheme="majorBidi"/>
          <w:b/>
          <w:bCs/>
          <w:color w:val="000000" w:themeColor="text1"/>
          <w:lang w:bidi="fa-IR"/>
        </w:rPr>
      </w:pPr>
      <w:r w:rsidRPr="008B5AB2">
        <w:rPr>
          <w:rFonts w:asciiTheme="majorBidi" w:hAnsiTheme="majorBidi" w:cstheme="majorBidi"/>
          <w:b/>
          <w:bCs/>
          <w:color w:val="000000" w:themeColor="text1"/>
          <w:lang w:bidi="fa-IR"/>
        </w:rPr>
        <w:t xml:space="preserve">Abstract </w:t>
      </w:r>
    </w:p>
    <w:p w14:paraId="59EF567D" w14:textId="0025712C" w:rsidR="003D1460" w:rsidRDefault="003D1460" w:rsidP="006C3CA5">
      <w:pPr>
        <w:jc w:val="both"/>
        <w:rPr>
          <w:rFonts w:asciiTheme="majorBidi" w:hAnsiTheme="majorBidi" w:cstheme="majorBidi"/>
          <w:lang w:bidi="fa-IR"/>
        </w:rPr>
      </w:pPr>
      <w:r w:rsidRPr="00856ECB">
        <w:rPr>
          <w:rFonts w:asciiTheme="majorBidi" w:hAnsiTheme="majorBidi" w:cstheme="majorBidi"/>
          <w:lang w:bidi="fa-IR"/>
        </w:rPr>
        <w:t xml:space="preserve">The gut </w:t>
      </w:r>
      <w:proofErr w:type="spellStart"/>
      <w:r w:rsidRPr="00856ECB">
        <w:rPr>
          <w:rFonts w:asciiTheme="majorBidi" w:hAnsiTheme="majorBidi" w:cstheme="majorBidi"/>
          <w:lang w:bidi="fa-IR"/>
        </w:rPr>
        <w:t>microbiome</w:t>
      </w:r>
      <w:proofErr w:type="spellEnd"/>
      <w:r w:rsidRPr="00856ECB">
        <w:rPr>
          <w:rFonts w:asciiTheme="majorBidi" w:hAnsiTheme="majorBidi" w:cstheme="majorBidi"/>
          <w:lang w:bidi="fa-IR"/>
        </w:rPr>
        <w:t>, in conjugation with the Gut-Brain Axis (GBA), plays a</w:t>
      </w:r>
      <w:r w:rsidR="004819E0" w:rsidRPr="00856ECB">
        <w:rPr>
          <w:rFonts w:asciiTheme="majorBidi" w:hAnsiTheme="majorBidi" w:cstheme="majorBidi"/>
          <w:lang w:bidi="fa-IR"/>
        </w:rPr>
        <w:t xml:space="preserve"> </w:t>
      </w:r>
      <w:r w:rsidRPr="00856ECB">
        <w:rPr>
          <w:rFonts w:asciiTheme="majorBidi" w:hAnsiTheme="majorBidi" w:cstheme="majorBidi"/>
          <w:lang w:bidi="fa-IR"/>
        </w:rPr>
        <w:t>fundamental</w:t>
      </w:r>
      <w:r w:rsidR="004819E0" w:rsidRPr="00856ECB">
        <w:rPr>
          <w:rFonts w:asciiTheme="majorBidi" w:hAnsiTheme="majorBidi" w:cstheme="majorBidi"/>
          <w:lang w:bidi="fa-IR"/>
        </w:rPr>
        <w:t xml:space="preserve"> </w:t>
      </w:r>
      <w:r w:rsidRPr="00856ECB">
        <w:rPr>
          <w:rFonts w:asciiTheme="majorBidi" w:hAnsiTheme="majorBidi" w:cstheme="majorBidi"/>
          <w:lang w:bidi="fa-IR"/>
        </w:rPr>
        <w:t xml:space="preserve">role in maintaining </w:t>
      </w:r>
      <w:r w:rsidR="004819E0" w:rsidRPr="00856ECB">
        <w:rPr>
          <w:rFonts w:asciiTheme="majorBidi" w:hAnsiTheme="majorBidi" w:cstheme="majorBidi"/>
          <w:lang w:bidi="fa-IR"/>
        </w:rPr>
        <w:t>systemic</w:t>
      </w:r>
      <w:r w:rsidRPr="00856ECB">
        <w:rPr>
          <w:rFonts w:asciiTheme="majorBidi" w:hAnsiTheme="majorBidi" w:cstheme="majorBidi"/>
          <w:lang w:bidi="fa-IR"/>
        </w:rPr>
        <w:t xml:space="preserve"> homeostasis. </w:t>
      </w:r>
      <w:proofErr w:type="spellStart"/>
      <w:r w:rsidRPr="00856ECB">
        <w:rPr>
          <w:rFonts w:asciiTheme="majorBidi" w:hAnsiTheme="majorBidi" w:cstheme="majorBidi"/>
          <w:lang w:bidi="fa-IR"/>
        </w:rPr>
        <w:t>Dysbiosis</w:t>
      </w:r>
      <w:proofErr w:type="spellEnd"/>
      <w:r w:rsidRPr="00856ECB">
        <w:rPr>
          <w:rFonts w:asciiTheme="majorBidi" w:hAnsiTheme="majorBidi" w:cstheme="majorBidi"/>
          <w:lang w:bidi="fa-IR"/>
        </w:rPr>
        <w:t xml:space="preserve"> or </w:t>
      </w:r>
      <w:proofErr w:type="gramStart"/>
      <w:r w:rsidRPr="00856ECB">
        <w:rPr>
          <w:rFonts w:asciiTheme="majorBidi" w:hAnsiTheme="majorBidi" w:cstheme="majorBidi"/>
          <w:lang w:bidi="fa-IR"/>
        </w:rPr>
        <w:t>distributions in microbial balance is</w:t>
      </w:r>
      <w:proofErr w:type="gramEnd"/>
      <w:r w:rsidRPr="00856ECB">
        <w:rPr>
          <w:rFonts w:asciiTheme="majorBidi" w:hAnsiTheme="majorBidi" w:cstheme="majorBidi"/>
          <w:lang w:bidi="fa-IR"/>
        </w:rPr>
        <w:t xml:space="preserve"> increasingly linked to the onset and progression of chronic conditions, particularly those affecting the nervous and gastrointestinal system. Neurodegenerative disorders such as Alzheimer's and Parkinson's have been associated with </w:t>
      </w:r>
      <w:proofErr w:type="spellStart"/>
      <w:r w:rsidRPr="00856ECB">
        <w:rPr>
          <w:rFonts w:asciiTheme="majorBidi" w:hAnsiTheme="majorBidi" w:cstheme="majorBidi"/>
          <w:lang w:bidi="fa-IR"/>
        </w:rPr>
        <w:t>dysbiosis</w:t>
      </w:r>
      <w:proofErr w:type="spellEnd"/>
      <w:r w:rsidRPr="00856ECB">
        <w:rPr>
          <w:rFonts w:asciiTheme="majorBidi" w:hAnsiTheme="majorBidi" w:cstheme="majorBidi"/>
          <w:lang w:bidi="fa-IR"/>
        </w:rPr>
        <w:t xml:space="preserve">. Also, diseases such as inflammatory bowel disease (IBD), irritable bowel syndrome (IBS), and fibromyalgia (FM), have been associated with reductions in beneficial </w:t>
      </w:r>
      <w:r w:rsidR="004819E0" w:rsidRPr="00856ECB">
        <w:rPr>
          <w:rFonts w:asciiTheme="majorBidi" w:hAnsiTheme="majorBidi" w:cstheme="majorBidi"/>
          <w:lang w:bidi="fa-IR"/>
        </w:rPr>
        <w:t>microbes</w:t>
      </w:r>
      <w:r w:rsidRPr="00856ECB">
        <w:rPr>
          <w:rFonts w:asciiTheme="majorBidi" w:hAnsiTheme="majorBidi" w:cstheme="majorBidi"/>
          <w:lang w:bidi="fa-IR"/>
        </w:rPr>
        <w:t xml:space="preserve"> </w:t>
      </w:r>
      <w:r w:rsidR="004819E0" w:rsidRPr="00856ECB">
        <w:rPr>
          <w:rFonts w:asciiTheme="majorBidi" w:hAnsiTheme="majorBidi" w:cstheme="majorBidi"/>
          <w:lang w:bidi="fa-IR"/>
        </w:rPr>
        <w:t xml:space="preserve">(e.g., </w:t>
      </w:r>
      <w:proofErr w:type="spellStart"/>
      <w:r w:rsidRPr="00856ECB">
        <w:rPr>
          <w:rFonts w:asciiTheme="majorBidi" w:hAnsiTheme="majorBidi" w:cstheme="majorBidi"/>
          <w:i/>
          <w:iCs/>
          <w:lang w:bidi="fa-IR"/>
        </w:rPr>
        <w:t>Faecalibacterium</w:t>
      </w:r>
      <w:proofErr w:type="spellEnd"/>
      <w:r w:rsidRPr="00856ECB">
        <w:rPr>
          <w:rFonts w:asciiTheme="majorBidi" w:hAnsiTheme="majorBidi" w:cstheme="majorBidi"/>
          <w:i/>
          <w:iCs/>
          <w:lang w:bidi="fa-IR"/>
        </w:rPr>
        <w:t xml:space="preserve"> </w:t>
      </w:r>
      <w:proofErr w:type="spellStart"/>
      <w:r w:rsidRPr="00856ECB">
        <w:rPr>
          <w:rFonts w:asciiTheme="majorBidi" w:hAnsiTheme="majorBidi" w:cstheme="majorBidi"/>
          <w:i/>
          <w:iCs/>
          <w:lang w:bidi="fa-IR"/>
        </w:rPr>
        <w:t>prausnitzii</w:t>
      </w:r>
      <w:proofErr w:type="spellEnd"/>
      <w:r w:rsidRPr="00856ECB">
        <w:rPr>
          <w:rFonts w:asciiTheme="majorBidi" w:hAnsiTheme="majorBidi" w:cstheme="majorBidi"/>
          <w:i/>
          <w:iCs/>
          <w:lang w:bidi="fa-IR"/>
        </w:rPr>
        <w:t xml:space="preserve"> </w:t>
      </w:r>
      <w:r w:rsidRPr="00856ECB">
        <w:rPr>
          <w:rFonts w:asciiTheme="majorBidi" w:hAnsiTheme="majorBidi" w:cstheme="majorBidi"/>
          <w:lang w:bidi="fa-IR"/>
        </w:rPr>
        <w:t>and</w:t>
      </w:r>
      <w:r w:rsidRPr="00856ECB">
        <w:rPr>
          <w:rFonts w:asciiTheme="majorBidi" w:hAnsiTheme="majorBidi" w:cstheme="majorBidi"/>
          <w:i/>
          <w:iCs/>
          <w:lang w:bidi="fa-IR"/>
        </w:rPr>
        <w:t xml:space="preserve"> </w:t>
      </w:r>
      <w:proofErr w:type="spellStart"/>
      <w:r w:rsidRPr="00856ECB">
        <w:rPr>
          <w:rFonts w:asciiTheme="majorBidi" w:hAnsiTheme="majorBidi" w:cstheme="majorBidi"/>
          <w:i/>
          <w:iCs/>
          <w:lang w:bidi="fa-IR"/>
        </w:rPr>
        <w:t>Bifidobacterium</w:t>
      </w:r>
      <w:proofErr w:type="spellEnd"/>
      <w:r w:rsidR="004819E0" w:rsidRPr="00856ECB">
        <w:rPr>
          <w:rFonts w:asciiTheme="majorBidi" w:hAnsiTheme="majorBidi" w:cstheme="majorBidi"/>
          <w:lang w:bidi="fa-IR"/>
        </w:rPr>
        <w:t>)</w:t>
      </w:r>
      <w:r w:rsidRPr="00856ECB">
        <w:rPr>
          <w:rFonts w:asciiTheme="majorBidi" w:hAnsiTheme="majorBidi" w:cstheme="majorBidi"/>
          <w:lang w:bidi="fa-IR"/>
        </w:rPr>
        <w:t xml:space="preserve"> and increased levels in bacteria </w:t>
      </w:r>
      <w:r w:rsidR="004819E0" w:rsidRPr="00856ECB">
        <w:rPr>
          <w:rFonts w:asciiTheme="majorBidi" w:hAnsiTheme="majorBidi" w:cstheme="majorBidi"/>
          <w:lang w:bidi="fa-IR"/>
        </w:rPr>
        <w:t xml:space="preserve">(e.g., </w:t>
      </w:r>
      <w:r w:rsidRPr="00856ECB">
        <w:rPr>
          <w:rFonts w:asciiTheme="majorBidi" w:hAnsiTheme="majorBidi" w:cstheme="majorBidi"/>
          <w:i/>
          <w:iCs/>
          <w:lang w:bidi="fa-IR"/>
        </w:rPr>
        <w:t xml:space="preserve">Escherichia coli and Clostridium </w:t>
      </w:r>
      <w:proofErr w:type="spellStart"/>
      <w:r w:rsidRPr="00856ECB">
        <w:rPr>
          <w:rFonts w:asciiTheme="majorBidi" w:hAnsiTheme="majorBidi" w:cstheme="majorBidi"/>
          <w:i/>
          <w:iCs/>
          <w:lang w:bidi="fa-IR"/>
        </w:rPr>
        <w:t>scindens</w:t>
      </w:r>
      <w:proofErr w:type="spellEnd"/>
      <w:r w:rsidR="004819E0" w:rsidRPr="00856ECB">
        <w:rPr>
          <w:rFonts w:asciiTheme="majorBidi" w:hAnsiTheme="majorBidi" w:cstheme="majorBidi"/>
          <w:lang w:bidi="fa-IR"/>
        </w:rPr>
        <w:t>)</w:t>
      </w:r>
      <w:r w:rsidRPr="00856ECB">
        <w:rPr>
          <w:rFonts w:asciiTheme="majorBidi" w:hAnsiTheme="majorBidi" w:cstheme="majorBidi"/>
          <w:lang w:bidi="fa-IR"/>
        </w:rPr>
        <w:t xml:space="preserve">. </w:t>
      </w:r>
      <w:r w:rsidR="004819E0" w:rsidRPr="00856ECB">
        <w:rPr>
          <w:rFonts w:asciiTheme="majorBidi" w:hAnsiTheme="majorBidi" w:cstheme="majorBidi"/>
          <w:lang w:bidi="fa-IR"/>
        </w:rPr>
        <w:t xml:space="preserve">Although therapies involving probiotics, prebiotics, </w:t>
      </w:r>
      <w:proofErr w:type="spellStart"/>
      <w:r w:rsidR="004819E0" w:rsidRPr="00856ECB">
        <w:rPr>
          <w:rFonts w:asciiTheme="majorBidi" w:hAnsiTheme="majorBidi" w:cstheme="majorBidi"/>
          <w:lang w:bidi="fa-IR"/>
        </w:rPr>
        <w:t>postbiotics</w:t>
      </w:r>
      <w:proofErr w:type="spellEnd"/>
      <w:r w:rsidR="004819E0" w:rsidRPr="00856ECB">
        <w:rPr>
          <w:rFonts w:asciiTheme="majorBidi" w:hAnsiTheme="majorBidi" w:cstheme="majorBidi"/>
          <w:lang w:bidi="fa-IR"/>
        </w:rPr>
        <w:t xml:space="preserve">, and </w:t>
      </w:r>
      <w:proofErr w:type="spellStart"/>
      <w:r w:rsidR="004819E0" w:rsidRPr="00856ECB">
        <w:rPr>
          <w:rFonts w:asciiTheme="majorBidi" w:hAnsiTheme="majorBidi" w:cstheme="majorBidi"/>
          <w:lang w:bidi="fa-IR"/>
        </w:rPr>
        <w:t>synbiotics</w:t>
      </w:r>
      <w:proofErr w:type="spellEnd"/>
      <w:r w:rsidR="004819E0" w:rsidRPr="00856ECB">
        <w:rPr>
          <w:rFonts w:asciiTheme="majorBidi" w:hAnsiTheme="majorBidi" w:cstheme="majorBidi"/>
          <w:lang w:bidi="fa-IR"/>
        </w:rPr>
        <w:t xml:space="preserve"> have shown promise in restoring microbial equilibrium, clinical outcomes remain variable.</w:t>
      </w:r>
      <w:r w:rsidRPr="00856ECB">
        <w:rPr>
          <w:rFonts w:asciiTheme="majorBidi" w:hAnsiTheme="majorBidi" w:cstheme="majorBidi"/>
          <w:lang w:bidi="fa-IR"/>
        </w:rPr>
        <w:t xml:space="preserve"> Advances in genetic engineering and biotechnology</w:t>
      </w:r>
      <w:r w:rsidR="00233A07">
        <w:rPr>
          <w:rFonts w:asciiTheme="majorBidi" w:hAnsiTheme="majorBidi" w:cstheme="majorBidi"/>
          <w:lang w:bidi="fa-IR"/>
        </w:rPr>
        <w:t xml:space="preserve"> (e.g., CRISPR Cas9, </w:t>
      </w:r>
      <w:r w:rsidR="006C3CA5">
        <w:rPr>
          <w:rFonts w:asciiTheme="majorBidi" w:hAnsiTheme="majorBidi" w:cstheme="majorBidi"/>
          <w:lang w:bidi="fa-IR"/>
        </w:rPr>
        <w:t>Genetic Kill Switch</w:t>
      </w:r>
      <w:r w:rsidR="00233A07">
        <w:rPr>
          <w:rFonts w:asciiTheme="majorBidi" w:hAnsiTheme="majorBidi" w:cstheme="majorBidi"/>
          <w:lang w:bidi="fa-IR"/>
        </w:rPr>
        <w:t>)</w:t>
      </w:r>
      <w:r w:rsidRPr="00856ECB">
        <w:rPr>
          <w:rFonts w:asciiTheme="majorBidi" w:hAnsiTheme="majorBidi" w:cstheme="majorBidi"/>
          <w:lang w:bidi="fa-IR"/>
        </w:rPr>
        <w:t xml:space="preserve"> enable the development of precision probiotics and </w:t>
      </w:r>
      <w:proofErr w:type="spellStart"/>
      <w:r w:rsidRPr="00856ECB">
        <w:rPr>
          <w:rFonts w:asciiTheme="majorBidi" w:hAnsiTheme="majorBidi" w:cstheme="majorBidi"/>
          <w:lang w:bidi="fa-IR"/>
        </w:rPr>
        <w:t>postbiotics</w:t>
      </w:r>
      <w:proofErr w:type="spellEnd"/>
      <w:r w:rsidRPr="00856ECB">
        <w:rPr>
          <w:rFonts w:asciiTheme="majorBidi" w:hAnsiTheme="majorBidi" w:cstheme="majorBidi"/>
          <w:lang w:bidi="fa-IR"/>
        </w:rPr>
        <w:t>, offering novel therapeutic tools</w:t>
      </w:r>
      <w:r w:rsidR="006C3CA5">
        <w:rPr>
          <w:rFonts w:asciiTheme="majorBidi" w:hAnsiTheme="majorBidi" w:cstheme="majorBidi"/>
          <w:lang w:bidi="fa-IR"/>
        </w:rPr>
        <w:t>. However,</w:t>
      </w:r>
      <w:r w:rsidR="006C3CA5" w:rsidRPr="006C3CA5">
        <w:rPr>
          <w:rFonts w:asciiTheme="majorBidi" w:hAnsiTheme="majorBidi" w:cstheme="majorBidi"/>
          <w:lang w:bidi="fa-IR"/>
        </w:rPr>
        <w:t xml:space="preserve"> issues related to safety, genetic stability, horizontal gene transfer, and immune system compatibility remain significant concerns</w:t>
      </w:r>
      <w:r w:rsidR="006C3CA5">
        <w:rPr>
          <w:rFonts w:asciiTheme="majorBidi" w:hAnsiTheme="majorBidi" w:cstheme="majorBidi"/>
          <w:lang w:bidi="fa-IR"/>
        </w:rPr>
        <w:t>.</w:t>
      </w:r>
      <w:r w:rsidR="006C5341">
        <w:rPr>
          <w:rFonts w:asciiTheme="majorBidi" w:hAnsiTheme="majorBidi" w:cstheme="majorBidi"/>
          <w:lang w:bidi="fa-IR"/>
        </w:rPr>
        <w:t xml:space="preserve"> </w:t>
      </w:r>
      <w:r w:rsidR="004819E0" w:rsidRPr="00856ECB">
        <w:rPr>
          <w:rFonts w:asciiTheme="majorBidi" w:hAnsiTheme="majorBidi" w:cstheme="majorBidi"/>
          <w:lang w:bidi="fa-IR"/>
        </w:rPr>
        <w:t>To enhance translational potential, future research must integrate multi-</w:t>
      </w:r>
      <w:proofErr w:type="spellStart"/>
      <w:r w:rsidR="004819E0" w:rsidRPr="00856ECB">
        <w:rPr>
          <w:rFonts w:asciiTheme="majorBidi" w:hAnsiTheme="majorBidi" w:cstheme="majorBidi"/>
          <w:lang w:bidi="fa-IR"/>
        </w:rPr>
        <w:t>omics</w:t>
      </w:r>
      <w:proofErr w:type="spellEnd"/>
      <w:r w:rsidR="004819E0" w:rsidRPr="00856ECB">
        <w:rPr>
          <w:rFonts w:asciiTheme="majorBidi" w:hAnsiTheme="majorBidi" w:cstheme="majorBidi"/>
          <w:lang w:bidi="fa-IR"/>
        </w:rPr>
        <w:t xml:space="preserve"> </w:t>
      </w:r>
      <w:r w:rsidR="003812A2">
        <w:rPr>
          <w:rFonts w:asciiTheme="majorBidi" w:hAnsiTheme="majorBidi" w:cstheme="majorBidi"/>
          <w:lang w:bidi="fa-IR"/>
        </w:rPr>
        <w:t xml:space="preserve">and Machine learning </w:t>
      </w:r>
      <w:r w:rsidR="004819E0" w:rsidRPr="00856ECB">
        <w:rPr>
          <w:rFonts w:asciiTheme="majorBidi" w:hAnsiTheme="majorBidi" w:cstheme="majorBidi"/>
          <w:lang w:bidi="fa-IR"/>
        </w:rPr>
        <w:t xml:space="preserve">technologies with bioengineering strategies. </w:t>
      </w:r>
      <w:r w:rsidR="00A451D3" w:rsidRPr="00A451D3">
        <w:rPr>
          <w:rFonts w:asciiTheme="majorBidi" w:hAnsiTheme="majorBidi" w:cstheme="majorBidi"/>
          <w:lang w:bidi="fa-IR"/>
        </w:rPr>
        <w:t xml:space="preserve">Encapsulation and </w:t>
      </w:r>
      <w:proofErr w:type="spellStart"/>
      <w:r w:rsidR="00A451D3" w:rsidRPr="00A451D3">
        <w:rPr>
          <w:rFonts w:asciiTheme="majorBidi" w:hAnsiTheme="majorBidi" w:cstheme="majorBidi"/>
          <w:lang w:bidi="fa-IR"/>
        </w:rPr>
        <w:t>nanoencapsulation</w:t>
      </w:r>
      <w:proofErr w:type="spellEnd"/>
      <w:r w:rsidR="00A451D3" w:rsidRPr="00A451D3">
        <w:rPr>
          <w:rFonts w:asciiTheme="majorBidi" w:hAnsiTheme="majorBidi" w:cstheme="majorBidi"/>
          <w:lang w:bidi="fa-IR"/>
        </w:rPr>
        <w:t xml:space="preserve"> techniques have shown promise in enhancing the viability and site-specific delivery of probiotics. </w:t>
      </w:r>
      <w:r w:rsidR="00A451D3">
        <w:rPr>
          <w:rFonts w:asciiTheme="majorBidi" w:hAnsiTheme="majorBidi" w:cstheme="majorBidi"/>
          <w:lang w:bidi="fa-IR"/>
        </w:rPr>
        <w:t>Accordingly</w:t>
      </w:r>
      <w:r w:rsidR="00A451D3" w:rsidRPr="00A451D3">
        <w:rPr>
          <w:rFonts w:asciiTheme="majorBidi" w:hAnsiTheme="majorBidi" w:cstheme="majorBidi"/>
          <w:lang w:bidi="fa-IR"/>
        </w:rPr>
        <w:t xml:space="preserve">, microencapsulation of </w:t>
      </w:r>
      <w:r w:rsidR="00A451D3" w:rsidRPr="00A451D3">
        <w:rPr>
          <w:rFonts w:asciiTheme="majorBidi" w:hAnsiTheme="majorBidi" w:cstheme="majorBidi"/>
          <w:i/>
          <w:iCs/>
          <w:lang w:bidi="fa-IR"/>
        </w:rPr>
        <w:t>Lactobacillus acidophilus</w:t>
      </w:r>
      <w:r w:rsidR="00A451D3" w:rsidRPr="00A451D3">
        <w:rPr>
          <w:rFonts w:asciiTheme="majorBidi" w:hAnsiTheme="majorBidi" w:cstheme="majorBidi"/>
          <w:lang w:bidi="fa-IR"/>
        </w:rPr>
        <w:t xml:space="preserve"> and </w:t>
      </w:r>
      <w:proofErr w:type="spellStart"/>
      <w:r w:rsidR="00A451D3" w:rsidRPr="00A451D3">
        <w:rPr>
          <w:rFonts w:asciiTheme="majorBidi" w:hAnsiTheme="majorBidi" w:cstheme="majorBidi"/>
          <w:i/>
          <w:iCs/>
          <w:lang w:bidi="fa-IR"/>
        </w:rPr>
        <w:t>Bifidobacterium</w:t>
      </w:r>
      <w:proofErr w:type="spellEnd"/>
      <w:r w:rsidR="00A451D3" w:rsidRPr="00A451D3">
        <w:rPr>
          <w:rFonts w:asciiTheme="majorBidi" w:hAnsiTheme="majorBidi" w:cstheme="majorBidi"/>
          <w:i/>
          <w:iCs/>
          <w:lang w:bidi="fa-IR"/>
        </w:rPr>
        <w:t xml:space="preserve"> </w:t>
      </w:r>
      <w:proofErr w:type="spellStart"/>
      <w:r w:rsidR="00A451D3" w:rsidRPr="00A451D3">
        <w:rPr>
          <w:rFonts w:asciiTheme="majorBidi" w:hAnsiTheme="majorBidi" w:cstheme="majorBidi"/>
          <w:i/>
          <w:iCs/>
          <w:lang w:bidi="fa-IR"/>
        </w:rPr>
        <w:t>animalis</w:t>
      </w:r>
      <w:proofErr w:type="spellEnd"/>
      <w:r w:rsidR="00A451D3" w:rsidRPr="00A451D3">
        <w:rPr>
          <w:rFonts w:asciiTheme="majorBidi" w:hAnsiTheme="majorBidi" w:cstheme="majorBidi"/>
          <w:i/>
          <w:iCs/>
          <w:lang w:bidi="fa-IR"/>
        </w:rPr>
        <w:t xml:space="preserve"> using alginate and pectin</w:t>
      </w:r>
      <w:r w:rsidR="00A451D3" w:rsidRPr="00A451D3">
        <w:rPr>
          <w:rFonts w:asciiTheme="majorBidi" w:hAnsiTheme="majorBidi" w:cstheme="majorBidi"/>
          <w:lang w:bidi="fa-IR"/>
        </w:rPr>
        <w:t xml:space="preserve"> significantly improved bacterial survival during freeze-drying, storage, and exposure to gastrointestinal conditions</w:t>
      </w:r>
      <w:r w:rsidR="00A451D3">
        <w:rPr>
          <w:rFonts w:asciiTheme="majorBidi" w:hAnsiTheme="majorBidi" w:cstheme="majorBidi"/>
          <w:lang w:bidi="fa-IR"/>
        </w:rPr>
        <w:t xml:space="preserve">. </w:t>
      </w:r>
      <w:r w:rsidR="004819E0" w:rsidRPr="00856ECB">
        <w:rPr>
          <w:rFonts w:asciiTheme="majorBidi" w:hAnsiTheme="majorBidi" w:cstheme="majorBidi"/>
          <w:lang w:bidi="fa-IR"/>
        </w:rPr>
        <w:t>This review examines the microbial-neural interface and highlights emerging biotechnological approaches to improve the efficacy of microbial-based therapies.</w:t>
      </w:r>
    </w:p>
    <w:p w14:paraId="5D27BA71" w14:textId="77777777" w:rsidR="0039426B" w:rsidRPr="00856ECB" w:rsidRDefault="0039426B" w:rsidP="009A0C39">
      <w:pPr>
        <w:jc w:val="both"/>
        <w:rPr>
          <w:rFonts w:asciiTheme="majorBidi" w:hAnsiTheme="majorBidi" w:cstheme="majorBidi"/>
          <w:lang w:bidi="fa-IR"/>
        </w:rPr>
      </w:pPr>
    </w:p>
    <w:p w14:paraId="780DBFCC" w14:textId="1B636285" w:rsidR="00241C58" w:rsidRDefault="003D1460" w:rsidP="00077A00">
      <w:pPr>
        <w:jc w:val="both"/>
        <w:rPr>
          <w:rFonts w:asciiTheme="majorBidi" w:hAnsiTheme="majorBidi" w:cstheme="majorBidi"/>
          <w:lang w:bidi="fa-IR"/>
        </w:rPr>
      </w:pPr>
      <w:r w:rsidRPr="00856ECB">
        <w:rPr>
          <w:rFonts w:asciiTheme="majorBidi" w:hAnsiTheme="majorBidi" w:cstheme="majorBidi"/>
          <w:lang w:bidi="fa-IR"/>
        </w:rPr>
        <w:t xml:space="preserve">Key words: Gut-Brain Axis, </w:t>
      </w:r>
      <w:proofErr w:type="spellStart"/>
      <w:r w:rsidRPr="00856ECB">
        <w:rPr>
          <w:rFonts w:asciiTheme="majorBidi" w:hAnsiTheme="majorBidi" w:cstheme="majorBidi"/>
          <w:lang w:bidi="fa-IR"/>
        </w:rPr>
        <w:t>Microbiota</w:t>
      </w:r>
      <w:proofErr w:type="spellEnd"/>
      <w:r w:rsidRPr="00856ECB">
        <w:rPr>
          <w:rFonts w:asciiTheme="majorBidi" w:hAnsiTheme="majorBidi" w:cstheme="majorBidi"/>
          <w:lang w:bidi="fa-IR"/>
        </w:rPr>
        <w:t xml:space="preserve">, </w:t>
      </w:r>
      <w:proofErr w:type="spellStart"/>
      <w:r w:rsidRPr="00856ECB">
        <w:rPr>
          <w:rFonts w:asciiTheme="majorBidi" w:hAnsiTheme="majorBidi" w:cstheme="majorBidi"/>
          <w:lang w:bidi="fa-IR"/>
        </w:rPr>
        <w:t>Dysbiosis</w:t>
      </w:r>
      <w:proofErr w:type="spellEnd"/>
      <w:r w:rsidRPr="00856ECB">
        <w:rPr>
          <w:rFonts w:asciiTheme="majorBidi" w:hAnsiTheme="majorBidi" w:cstheme="majorBidi"/>
          <w:lang w:bidi="fa-IR"/>
        </w:rPr>
        <w:t>, Probiotics</w:t>
      </w:r>
    </w:p>
    <w:p w14:paraId="46B2B392" w14:textId="77777777" w:rsidR="006C5341" w:rsidRDefault="006C5341" w:rsidP="008B5AB2">
      <w:pPr>
        <w:pStyle w:val="Heading1"/>
        <w:jc w:val="both"/>
        <w:rPr>
          <w:rFonts w:asciiTheme="majorBidi" w:hAnsiTheme="majorBidi"/>
          <w:color w:val="auto"/>
          <w:sz w:val="24"/>
          <w:szCs w:val="24"/>
          <w:lang w:bidi="fa-IR"/>
        </w:rPr>
      </w:pPr>
    </w:p>
    <w:p w14:paraId="1AC22625" w14:textId="614F9FCF" w:rsidR="00D25829" w:rsidRPr="008B5AB2" w:rsidRDefault="00524C0E" w:rsidP="008B5AB2">
      <w:pPr>
        <w:pStyle w:val="Heading1"/>
        <w:jc w:val="both"/>
        <w:rPr>
          <w:rFonts w:asciiTheme="majorBidi" w:hAnsiTheme="majorBidi"/>
          <w:color w:val="auto"/>
          <w:sz w:val="24"/>
          <w:szCs w:val="24"/>
          <w:lang w:bidi="fa-IR"/>
        </w:rPr>
      </w:pPr>
      <w:r w:rsidRPr="008B5AB2">
        <w:rPr>
          <w:rFonts w:asciiTheme="majorBidi" w:hAnsiTheme="majorBidi"/>
          <w:color w:val="auto"/>
          <w:sz w:val="24"/>
          <w:szCs w:val="24"/>
          <w:lang w:bidi="fa-IR"/>
        </w:rPr>
        <w:t>Introduction</w:t>
      </w:r>
    </w:p>
    <w:p w14:paraId="0740212C" w14:textId="0A8E46AF" w:rsidR="00437426" w:rsidRPr="00856ECB" w:rsidRDefault="00F14355" w:rsidP="009A0C39">
      <w:pPr>
        <w:spacing w:before="100" w:beforeAutospacing="1" w:after="100" w:afterAutospacing="1" w:line="276" w:lineRule="auto"/>
        <w:jc w:val="both"/>
        <w:rPr>
          <w:rFonts w:asciiTheme="majorBidi" w:eastAsia="Times New Roman" w:hAnsiTheme="majorBidi" w:cstheme="majorBidi"/>
          <w:kern w:val="0"/>
          <w14:ligatures w14:val="none"/>
        </w:rPr>
      </w:pPr>
      <w:r w:rsidRPr="00856ECB">
        <w:rPr>
          <w:rFonts w:asciiTheme="majorBidi" w:eastAsia="Times New Roman" w:hAnsiTheme="majorBidi" w:cstheme="majorBidi"/>
          <w:color w:val="000000" w:themeColor="text1"/>
          <w:kern w:val="0"/>
          <w14:ligatures w14:val="none"/>
        </w:rPr>
        <w:t xml:space="preserve">The gut-brain axis (GBA) is a two-way communication </w:t>
      </w:r>
      <w:r w:rsidR="00266F3C" w:rsidRPr="00856ECB">
        <w:rPr>
          <w:rFonts w:asciiTheme="majorBidi" w:eastAsia="Times New Roman" w:hAnsiTheme="majorBidi" w:cstheme="majorBidi"/>
          <w:color w:val="000000" w:themeColor="text1"/>
          <w:kern w:val="0"/>
          <w14:ligatures w14:val="none"/>
        </w:rPr>
        <w:t>network linking</w:t>
      </w:r>
      <w:r w:rsidRPr="00856ECB">
        <w:rPr>
          <w:rFonts w:asciiTheme="majorBidi" w:eastAsia="Times New Roman" w:hAnsiTheme="majorBidi" w:cstheme="majorBidi"/>
          <w:color w:val="000000" w:themeColor="text1"/>
          <w:kern w:val="0"/>
          <w14:ligatures w14:val="none"/>
        </w:rPr>
        <w:t xml:space="preserve"> the gastrointestinal </w:t>
      </w:r>
      <w:r w:rsidR="00266F3C" w:rsidRPr="00856ECB">
        <w:rPr>
          <w:rFonts w:asciiTheme="majorBidi" w:eastAsia="Times New Roman" w:hAnsiTheme="majorBidi" w:cstheme="majorBidi"/>
          <w:color w:val="000000" w:themeColor="text1"/>
          <w:kern w:val="0"/>
          <w14:ligatures w14:val="none"/>
        </w:rPr>
        <w:t>tract</w:t>
      </w:r>
      <w:r w:rsidRPr="00856ECB">
        <w:rPr>
          <w:rFonts w:asciiTheme="majorBidi" w:eastAsia="Times New Roman" w:hAnsiTheme="majorBidi" w:cstheme="majorBidi"/>
          <w:color w:val="000000" w:themeColor="text1"/>
          <w:kern w:val="0"/>
          <w14:ligatures w14:val="none"/>
        </w:rPr>
        <w:t xml:space="preserve"> </w:t>
      </w:r>
      <w:r w:rsidR="003D5805" w:rsidRPr="00856ECB">
        <w:rPr>
          <w:rFonts w:asciiTheme="majorBidi" w:eastAsia="Times New Roman" w:hAnsiTheme="majorBidi" w:cstheme="majorBidi"/>
          <w:color w:val="000000" w:themeColor="text1"/>
          <w:kern w:val="0"/>
          <w14:ligatures w14:val="none"/>
        </w:rPr>
        <w:t>and</w:t>
      </w:r>
      <w:r w:rsidRPr="00856ECB">
        <w:rPr>
          <w:rFonts w:asciiTheme="majorBidi" w:eastAsia="Times New Roman" w:hAnsiTheme="majorBidi" w:cstheme="majorBidi"/>
          <w:color w:val="000000" w:themeColor="text1"/>
          <w:kern w:val="0"/>
          <w14:ligatures w14:val="none"/>
        </w:rPr>
        <w:t xml:space="preserve"> the central nervous system.</w:t>
      </w:r>
      <w:r w:rsidR="00266F3C" w:rsidRPr="00856ECB">
        <w:rPr>
          <w:rFonts w:asciiTheme="majorBidi" w:eastAsia="Times New Roman" w:hAnsiTheme="majorBidi" w:cstheme="majorBidi"/>
          <w:color w:val="000000" w:themeColor="text1"/>
          <w:kern w:val="0"/>
          <w14:ligatures w14:val="none"/>
        </w:rPr>
        <w:t xml:space="preserve"> This system integrates neural, endocrine, immune, and microbial pathways to regulate both physiological and pathological processes. </w:t>
      </w:r>
      <w:r w:rsidRPr="00856ECB">
        <w:rPr>
          <w:rFonts w:asciiTheme="majorBidi" w:eastAsia="Times New Roman" w:hAnsiTheme="majorBidi" w:cstheme="majorBidi"/>
          <w:color w:val="000000" w:themeColor="text1"/>
          <w:kern w:val="0"/>
          <w14:ligatures w14:val="none"/>
        </w:rPr>
        <w:t xml:space="preserve">The </w:t>
      </w:r>
      <w:proofErr w:type="spellStart"/>
      <w:r w:rsidRPr="00856ECB">
        <w:rPr>
          <w:rFonts w:asciiTheme="majorBidi" w:eastAsia="Times New Roman" w:hAnsiTheme="majorBidi" w:cstheme="majorBidi"/>
          <w:color w:val="000000" w:themeColor="text1"/>
          <w:kern w:val="0"/>
          <w14:ligatures w14:val="none"/>
        </w:rPr>
        <w:t>vagus</w:t>
      </w:r>
      <w:proofErr w:type="spellEnd"/>
      <w:r w:rsidRPr="00856ECB">
        <w:rPr>
          <w:rFonts w:asciiTheme="majorBidi" w:eastAsia="Times New Roman" w:hAnsiTheme="majorBidi" w:cstheme="majorBidi"/>
          <w:color w:val="000000" w:themeColor="text1"/>
          <w:kern w:val="0"/>
          <w14:ligatures w14:val="none"/>
        </w:rPr>
        <w:t xml:space="preserve"> nerve is the primary neural link, regulating appetite and metabolism, especially in conditions like obesity and diabetes. </w:t>
      </w:r>
      <w:r w:rsidR="0017362F" w:rsidRPr="00856ECB">
        <w:rPr>
          <w:rFonts w:asciiTheme="majorBidi" w:eastAsia="Times New Roman" w:hAnsiTheme="majorBidi" w:cstheme="majorBidi"/>
          <w:color w:val="000000" w:themeColor="text1"/>
          <w:kern w:val="0"/>
          <w14:ligatures w14:val="none"/>
        </w:rPr>
        <w:t xml:space="preserve">In addition, the enteric nervous system, often referred to as the </w:t>
      </w:r>
      <w:r w:rsidR="009A0C39" w:rsidRPr="00856ECB">
        <w:rPr>
          <w:rFonts w:asciiTheme="majorBidi" w:eastAsia="Times New Roman" w:hAnsiTheme="majorBidi" w:cstheme="majorBidi"/>
          <w:color w:val="000000" w:themeColor="text1"/>
          <w:kern w:val="0"/>
          <w14:ligatures w14:val="none"/>
        </w:rPr>
        <w:t>“</w:t>
      </w:r>
      <w:r w:rsidR="0017362F" w:rsidRPr="00856ECB">
        <w:rPr>
          <w:rFonts w:asciiTheme="majorBidi" w:eastAsia="Times New Roman" w:hAnsiTheme="majorBidi" w:cstheme="majorBidi"/>
          <w:color w:val="000000" w:themeColor="text1"/>
          <w:kern w:val="0"/>
          <w14:ligatures w14:val="none"/>
        </w:rPr>
        <w:t>second brain</w:t>
      </w:r>
      <w:r w:rsidR="009A0C39" w:rsidRPr="00856ECB">
        <w:rPr>
          <w:rFonts w:asciiTheme="majorBidi" w:eastAsia="Times New Roman" w:hAnsiTheme="majorBidi" w:cstheme="majorBidi"/>
          <w:color w:val="000000" w:themeColor="text1"/>
          <w:kern w:val="0"/>
          <w14:ligatures w14:val="none"/>
        </w:rPr>
        <w:t>”</w:t>
      </w:r>
      <w:r w:rsidR="0017362F" w:rsidRPr="00856ECB">
        <w:rPr>
          <w:rFonts w:asciiTheme="majorBidi" w:eastAsia="Times New Roman" w:hAnsiTheme="majorBidi" w:cstheme="majorBidi"/>
          <w:color w:val="000000" w:themeColor="text1"/>
          <w:kern w:val="0"/>
          <w14:ligatures w14:val="none"/>
        </w:rPr>
        <w:t xml:space="preserve">, operates semi-autonomously while maintaining direct interactions with the central nervous system, affecting emotional and stress-related behaviors. Hormonal signaling further reinforces GBA connectivity. For example, glucagon-like peptide-1 (GLP-1) serves as a metabolic regulator and facilitates communication between gut microbes and brain </w:t>
      </w:r>
      <w:r w:rsidRPr="00856ECB">
        <w:rPr>
          <w:rFonts w:asciiTheme="majorBidi" w:eastAsia="Times New Roman" w:hAnsiTheme="majorBidi" w:cstheme="majorBidi"/>
          <w:color w:val="000000" w:themeColor="text1"/>
          <w:kern w:val="0"/>
          <w14:ligatures w14:val="none"/>
        </w:rPr>
        <w:t xml:space="preserve"> function </w:t>
      </w:r>
      <w:r w:rsidR="00810A43" w:rsidRPr="00856ECB">
        <w:rPr>
          <w:rFonts w:asciiTheme="majorBidi" w:eastAsia="Times New Roman" w:hAnsiTheme="majorBidi" w:cstheme="majorBidi"/>
          <w:color w:val="000000" w:themeColor="text1"/>
          <w:kern w:val="0"/>
          <w14:ligatures w14:val="none"/>
        </w:rPr>
        <w:fldChar w:fldCharType="begin"/>
      </w:r>
      <w:r w:rsidR="00810A43" w:rsidRPr="00856ECB">
        <w:rPr>
          <w:rFonts w:asciiTheme="majorBidi" w:eastAsia="Times New Roman" w:hAnsiTheme="majorBidi" w:cstheme="majorBidi"/>
          <w:color w:val="000000" w:themeColor="text1"/>
          <w:kern w:val="0"/>
          <w14:ligatures w14:val="none"/>
        </w:rPr>
        <w:instrText xml:space="preserve"> ADDIN EN.CITE &lt;EndNote&gt;&lt;Cite&gt;&lt;Author&gt;Longo&lt;/Author&gt;&lt;Year&gt;2023&lt;/Year&gt;&lt;RecNum&gt;297&lt;/RecNum&gt;&lt;DisplayText&gt;(1)&lt;/DisplayText&gt;&lt;record&gt;&lt;rec-number&gt;297&lt;/rec-number&gt;&lt;foreign-keys&gt;&lt;key app="EN" db-id="exwvr9fd40te9ner0f4ptrrorttf9svzawdd" timestamp="1751871159"&gt;297&lt;/key&gt;&lt;/foreign-keys&gt;&lt;ref-type name="Journal Article"&gt;17&lt;/ref-type&gt;&lt;contributors&gt;&lt;authors&gt;&lt;author&gt;Longo, Susanna&lt;/author&gt;&lt;author&gt;Rizza, Stefano&lt;/author&gt;&lt;author&gt;Federici, Massimo&lt;/author&gt;&lt;/authors&gt;&lt;/contributors&gt;&lt;titles&gt;&lt;title&gt;Microbiota-gut-brain axis: Relationships among the vagus nerve, gut microbiota, obesity, and diabetes&lt;/title&gt;&lt;secondary-title&gt;Acta diabetologica&lt;/secondary-title&gt;&lt;/titles&gt;&lt;periodical&gt;&lt;full-title&gt;Acta diabetologica&lt;/full-title&gt;&lt;/periodical&gt;&lt;pages&gt;1007-1017&lt;/pages&gt;&lt;volume&gt;60&lt;/volume&gt;&lt;number&gt;8&lt;/number&gt;&lt;dates&gt;&lt;year&gt;2023&lt;/year&gt;&lt;/dates&gt;&lt;isbn&gt;1432-5233&lt;/isbn&gt;&lt;urls&gt;&lt;/urls&gt;&lt;/record&gt;&lt;/Cite&gt;&lt;/EndNote&gt;</w:instrText>
      </w:r>
      <w:r w:rsidR="00810A43" w:rsidRPr="00856ECB">
        <w:rPr>
          <w:rFonts w:asciiTheme="majorBidi" w:eastAsia="Times New Roman" w:hAnsiTheme="majorBidi" w:cstheme="majorBidi"/>
          <w:color w:val="000000" w:themeColor="text1"/>
          <w:kern w:val="0"/>
          <w14:ligatures w14:val="none"/>
        </w:rPr>
        <w:fldChar w:fldCharType="separate"/>
      </w:r>
      <w:r w:rsidR="00810A43" w:rsidRPr="00856ECB">
        <w:rPr>
          <w:rFonts w:asciiTheme="majorBidi" w:eastAsia="Times New Roman" w:hAnsiTheme="majorBidi" w:cstheme="majorBidi"/>
          <w:noProof/>
          <w:color w:val="000000" w:themeColor="text1"/>
          <w:kern w:val="0"/>
          <w14:ligatures w14:val="none"/>
        </w:rPr>
        <w:t>(1)</w:t>
      </w:r>
      <w:r w:rsidR="00810A43" w:rsidRPr="00856ECB">
        <w:rPr>
          <w:rFonts w:asciiTheme="majorBidi" w:eastAsia="Times New Roman" w:hAnsiTheme="majorBidi" w:cstheme="majorBidi"/>
          <w:color w:val="000000" w:themeColor="text1"/>
          <w:kern w:val="0"/>
          <w14:ligatures w14:val="none"/>
        </w:rPr>
        <w:fldChar w:fldCharType="end"/>
      </w:r>
      <w:r w:rsidR="00437426" w:rsidRPr="00856ECB">
        <w:rPr>
          <w:rFonts w:asciiTheme="majorBidi" w:eastAsia="Times New Roman" w:hAnsiTheme="majorBidi" w:cstheme="majorBidi"/>
          <w:color w:val="000000" w:themeColor="text1"/>
          <w:kern w:val="0"/>
          <w14:ligatures w14:val="none"/>
        </w:rPr>
        <w:t xml:space="preserve">. </w:t>
      </w:r>
      <w:r w:rsidR="0017362F" w:rsidRPr="00856ECB">
        <w:rPr>
          <w:rFonts w:asciiTheme="majorBidi" w:eastAsia="Times New Roman" w:hAnsiTheme="majorBidi" w:cstheme="majorBidi"/>
          <w:color w:val="000000" w:themeColor="text1"/>
          <w:kern w:val="0"/>
          <w14:ligatures w14:val="none"/>
        </w:rPr>
        <w:t xml:space="preserve">Serotonin, predominantly synthesized within the gut, is another key signaling molecule involved in mood </w:t>
      </w:r>
      <w:r w:rsidR="0017362F" w:rsidRPr="00856ECB">
        <w:rPr>
          <w:rFonts w:asciiTheme="majorBidi" w:eastAsia="Times New Roman" w:hAnsiTheme="majorBidi" w:cstheme="majorBidi"/>
          <w:color w:val="000000" w:themeColor="text1"/>
          <w:kern w:val="0"/>
          <w14:ligatures w14:val="none"/>
        </w:rPr>
        <w:lastRenderedPageBreak/>
        <w:t>regulation and gastrointestinal motility</w:t>
      </w:r>
      <w:r w:rsidR="008D6C80" w:rsidRPr="00856ECB">
        <w:rPr>
          <w:rFonts w:asciiTheme="majorBidi" w:eastAsia="Times New Roman" w:hAnsiTheme="majorBidi" w:cstheme="majorBidi"/>
          <w:color w:val="000000" w:themeColor="text1"/>
          <w:kern w:val="0"/>
          <w14:ligatures w14:val="none"/>
        </w:rPr>
        <w:t xml:space="preserve"> </w:t>
      </w:r>
      <w:r w:rsidR="008D6C80" w:rsidRPr="00856ECB">
        <w:rPr>
          <w:rFonts w:asciiTheme="majorBidi" w:eastAsia="Times New Roman" w:hAnsiTheme="majorBidi" w:cstheme="majorBidi"/>
          <w:kern w:val="0"/>
          <w14:ligatures w14:val="none"/>
        </w:rPr>
        <w:fldChar w:fldCharType="begin"/>
      </w:r>
      <w:r w:rsidR="008D6C80" w:rsidRPr="00856ECB">
        <w:rPr>
          <w:rFonts w:asciiTheme="majorBidi" w:eastAsia="Times New Roman" w:hAnsiTheme="majorBidi" w:cstheme="majorBidi"/>
          <w:kern w:val="0"/>
          <w14:ligatures w14:val="none"/>
        </w:rPr>
        <w:instrText xml:space="preserve"> ADDIN EN.CITE &lt;EndNote&gt;&lt;Cite&gt;&lt;Author&gt;Kargbo&lt;/Author&gt;&lt;Year&gt;2023&lt;/Year&gt;&lt;RecNum&gt;299&lt;/RecNum&gt;&lt;DisplayText&gt;(2)&lt;/DisplayText&gt;&lt;record&gt;&lt;rec-number&gt;299&lt;/rec-number&gt;&lt;foreign-keys&gt;&lt;key app="EN" db-id="exwvr9fd40te9ner0f4ptrrorttf9svzawdd" timestamp="1751871340"&gt;299&lt;/key&gt;&lt;/foreign-keys&gt;&lt;ref-type name="Generic"&gt;13&lt;/ref-type&gt;&lt;contributors&gt;&lt;authors&gt;&lt;author&gt;Kargbo, Robert B&lt;/author&gt;&lt;/authors&gt;&lt;/contributors&gt;&lt;titles&gt;&lt;title&gt;Microbiome–gut–brain axis modulation: New approaches in treatment of neuropsychological and gastrointestinal functional disorders&lt;/title&gt;&lt;/titles&gt;&lt;pages&gt;692-695&lt;/pages&gt;&lt;volume&gt;14&lt;/volume&gt;&lt;number&gt;6&lt;/number&gt;&lt;dates&gt;&lt;year&gt;2023&lt;/year&gt;&lt;/dates&gt;&lt;publisher&gt;ACS Publications&lt;/publisher&gt;&lt;isbn&gt;1948-5875&lt;/isbn&gt;&lt;urls&gt;&lt;/urls&gt;&lt;/record&gt;&lt;/Cite&gt;&lt;/EndNote&gt;</w:instrText>
      </w:r>
      <w:r w:rsidR="008D6C80" w:rsidRPr="00856ECB">
        <w:rPr>
          <w:rFonts w:asciiTheme="majorBidi" w:eastAsia="Times New Roman" w:hAnsiTheme="majorBidi" w:cstheme="majorBidi"/>
          <w:kern w:val="0"/>
          <w14:ligatures w14:val="none"/>
        </w:rPr>
        <w:fldChar w:fldCharType="separate"/>
      </w:r>
      <w:r w:rsidR="008D6C80" w:rsidRPr="00856ECB">
        <w:rPr>
          <w:rFonts w:asciiTheme="majorBidi" w:eastAsia="Times New Roman" w:hAnsiTheme="majorBidi" w:cstheme="majorBidi"/>
          <w:noProof/>
          <w:kern w:val="0"/>
          <w14:ligatures w14:val="none"/>
        </w:rPr>
        <w:t>(2)</w:t>
      </w:r>
      <w:r w:rsidR="008D6C80" w:rsidRPr="00856ECB">
        <w:rPr>
          <w:rFonts w:asciiTheme="majorBidi" w:eastAsia="Times New Roman" w:hAnsiTheme="majorBidi" w:cstheme="majorBidi"/>
          <w:kern w:val="0"/>
          <w14:ligatures w14:val="none"/>
        </w:rPr>
        <w:fldChar w:fldCharType="end"/>
      </w:r>
      <w:r w:rsidR="00437426" w:rsidRPr="00856ECB">
        <w:rPr>
          <w:rFonts w:asciiTheme="majorBidi" w:eastAsia="Times New Roman" w:hAnsiTheme="majorBidi" w:cstheme="majorBidi"/>
          <w:kern w:val="0"/>
          <w14:ligatures w14:val="none"/>
        </w:rPr>
        <w:t>.</w:t>
      </w:r>
      <w:r w:rsidR="000A1B29" w:rsidRPr="00856ECB">
        <w:rPr>
          <w:rFonts w:asciiTheme="majorBidi" w:eastAsia="Times New Roman" w:hAnsiTheme="majorBidi" w:cstheme="majorBidi"/>
          <w:kern w:val="0"/>
          <w14:ligatures w14:val="none"/>
        </w:rPr>
        <w:t xml:space="preserve"> </w:t>
      </w:r>
      <w:r w:rsidR="0017362F" w:rsidRPr="00856ECB">
        <w:rPr>
          <w:rFonts w:asciiTheme="majorBidi" w:eastAsia="Times New Roman" w:hAnsiTheme="majorBidi" w:cstheme="majorBidi"/>
          <w:kern w:val="0"/>
          <w14:ligatures w14:val="none"/>
        </w:rPr>
        <w:t xml:space="preserve">Endocrine stress responses are coordinated via the hypothalamic-pituitary-adrenal (HPA) axis, which releases cytokines and </w:t>
      </w:r>
      <w:proofErr w:type="spellStart"/>
      <w:r w:rsidR="0017362F" w:rsidRPr="00856ECB">
        <w:rPr>
          <w:rFonts w:asciiTheme="majorBidi" w:eastAsia="Times New Roman" w:hAnsiTheme="majorBidi" w:cstheme="majorBidi"/>
          <w:kern w:val="0"/>
          <w14:ligatures w14:val="none"/>
        </w:rPr>
        <w:t>chemokines</w:t>
      </w:r>
      <w:proofErr w:type="spellEnd"/>
      <w:r w:rsidR="0017362F" w:rsidRPr="00856ECB">
        <w:rPr>
          <w:rFonts w:asciiTheme="majorBidi" w:eastAsia="Times New Roman" w:hAnsiTheme="majorBidi" w:cstheme="majorBidi"/>
          <w:kern w:val="0"/>
          <w14:ligatures w14:val="none"/>
        </w:rPr>
        <w:t xml:space="preserve"> that modulate immune activity in response to the microbial signal</w:t>
      </w:r>
      <w:r w:rsidR="000A1B29" w:rsidRPr="00856ECB">
        <w:rPr>
          <w:rFonts w:asciiTheme="majorBidi" w:eastAsia="Times New Roman" w:hAnsiTheme="majorBidi" w:cstheme="majorBidi"/>
          <w:kern w:val="0"/>
          <w14:ligatures w14:val="none"/>
        </w:rPr>
        <w:t xml:space="preserve"> </w:t>
      </w:r>
      <w:r w:rsidR="000A1B29" w:rsidRPr="00856ECB">
        <w:rPr>
          <w:rFonts w:asciiTheme="majorBidi" w:eastAsia="Times New Roman" w:hAnsiTheme="majorBidi" w:cstheme="majorBidi"/>
          <w:kern w:val="0"/>
          <w14:ligatures w14:val="none"/>
        </w:rPr>
        <w:fldChar w:fldCharType="begin"/>
      </w:r>
      <w:r w:rsidR="008D6C80" w:rsidRPr="00856ECB">
        <w:rPr>
          <w:rFonts w:asciiTheme="majorBidi" w:eastAsia="Times New Roman" w:hAnsiTheme="majorBidi" w:cstheme="majorBidi"/>
          <w:kern w:val="0"/>
          <w14:ligatures w14:val="none"/>
        </w:rPr>
        <w:instrText xml:space="preserve"> ADDIN EN.CITE &lt;EndNote&gt;&lt;Cite&gt;&lt;Author&gt;Ashique&lt;/Author&gt;&lt;Year&gt;2024&lt;/Year&gt;&lt;RecNum&gt;298&lt;/RecNum&gt;&lt;DisplayText&gt;(3)&lt;/DisplayText&gt;&lt;record&gt;&lt;rec-number&gt;298&lt;/rec-number&gt;&lt;foreign-keys&gt;&lt;key app="EN" db-id="exwvr9fd40te9ner0f4ptrrorttf9svzawdd" timestamp="1751871232"&gt;298&lt;/key&gt;&lt;/foreign-keys&gt;&lt;ref-type name="Journal Article"&gt;17&lt;/ref-type&gt;&lt;contributors&gt;&lt;authors&gt;&lt;author&gt;Ashique, Sumel&lt;/author&gt;&lt;author&gt;Mohanto, Sourav&lt;/author&gt;&lt;author&gt;Ahmed, Mohammed Gulzar&lt;/author&gt;&lt;author&gt;Mishra, Neeraj&lt;/author&gt;&lt;author&gt;Garg, Ashish&lt;/author&gt;&lt;author&gt;Chellappan, Dinesh Kumar&lt;/author&gt;&lt;author&gt;Omara, Timothy&lt;/author&gt;&lt;author&gt;Iqbal, Shabnoor&lt;/author&gt;&lt;author&gt;Kahwa, Ivan&lt;/author&gt;&lt;/authors&gt;&lt;/contributors&gt;&lt;titles&gt;&lt;title&gt;Gut-brain axis: A cutting-edge approach to target neurological disorders and potential synbiotic application&lt;/title&gt;&lt;secondary-title&gt;Heliyon&lt;/secondary-title&gt;&lt;/titles&gt;&lt;periodical&gt;&lt;full-title&gt;Heliyon&lt;/full-title&gt;&lt;/periodical&gt;&lt;volume&gt;10&lt;/volume&gt;&lt;number&gt;13&lt;/number&gt;&lt;dates&gt;&lt;year&gt;2024&lt;/year&gt;&lt;/dates&gt;&lt;isbn&gt;2405-8440&lt;/isbn&gt;&lt;urls&gt;&lt;/urls&gt;&lt;/record&gt;&lt;/Cite&gt;&lt;/EndNote&gt;</w:instrText>
      </w:r>
      <w:r w:rsidR="000A1B29" w:rsidRPr="00856ECB">
        <w:rPr>
          <w:rFonts w:asciiTheme="majorBidi" w:eastAsia="Times New Roman" w:hAnsiTheme="majorBidi" w:cstheme="majorBidi"/>
          <w:kern w:val="0"/>
          <w14:ligatures w14:val="none"/>
        </w:rPr>
        <w:fldChar w:fldCharType="separate"/>
      </w:r>
      <w:r w:rsidR="008D6C80" w:rsidRPr="00856ECB">
        <w:rPr>
          <w:rFonts w:asciiTheme="majorBidi" w:eastAsia="Times New Roman" w:hAnsiTheme="majorBidi" w:cstheme="majorBidi"/>
          <w:noProof/>
          <w:kern w:val="0"/>
          <w14:ligatures w14:val="none"/>
        </w:rPr>
        <w:t>(3)</w:t>
      </w:r>
      <w:r w:rsidR="000A1B29" w:rsidRPr="00856ECB">
        <w:rPr>
          <w:rFonts w:asciiTheme="majorBidi" w:eastAsia="Times New Roman" w:hAnsiTheme="majorBidi" w:cstheme="majorBidi"/>
          <w:kern w:val="0"/>
          <w14:ligatures w14:val="none"/>
        </w:rPr>
        <w:fldChar w:fldCharType="end"/>
      </w:r>
      <w:r w:rsidR="000A1B29" w:rsidRPr="00856ECB">
        <w:rPr>
          <w:rFonts w:asciiTheme="majorBidi" w:eastAsia="Times New Roman" w:hAnsiTheme="majorBidi" w:cstheme="majorBidi"/>
          <w:kern w:val="0"/>
          <w14:ligatures w14:val="none"/>
        </w:rPr>
        <w:t>.</w:t>
      </w:r>
    </w:p>
    <w:p w14:paraId="75953893" w14:textId="7FE00A50" w:rsidR="00437426" w:rsidRPr="00856ECB" w:rsidRDefault="00F14355" w:rsidP="009A0C39">
      <w:pPr>
        <w:spacing w:before="100" w:beforeAutospacing="1" w:after="100" w:afterAutospacing="1" w:line="276" w:lineRule="auto"/>
        <w:jc w:val="both"/>
        <w:rPr>
          <w:rFonts w:asciiTheme="majorBidi" w:eastAsia="Times New Roman" w:hAnsiTheme="majorBidi" w:cstheme="majorBidi"/>
          <w:color w:val="000000" w:themeColor="text1"/>
          <w:kern w:val="0"/>
          <w14:ligatures w14:val="none"/>
        </w:rPr>
      </w:pPr>
      <w:r w:rsidRPr="00856ECB">
        <w:rPr>
          <w:rFonts w:asciiTheme="majorBidi" w:eastAsia="Times New Roman" w:hAnsiTheme="majorBidi" w:cstheme="majorBidi"/>
          <w:color w:val="000000" w:themeColor="text1"/>
          <w:kern w:val="0"/>
          <w14:ligatures w14:val="none"/>
        </w:rPr>
        <w:t xml:space="preserve">The gut </w:t>
      </w:r>
      <w:proofErr w:type="spellStart"/>
      <w:r w:rsidRPr="00856ECB">
        <w:rPr>
          <w:rFonts w:asciiTheme="majorBidi" w:eastAsia="Times New Roman" w:hAnsiTheme="majorBidi" w:cstheme="majorBidi"/>
          <w:color w:val="000000" w:themeColor="text1"/>
          <w:kern w:val="0"/>
          <w14:ligatures w14:val="none"/>
        </w:rPr>
        <w:t>microbiota</w:t>
      </w:r>
      <w:proofErr w:type="spellEnd"/>
      <w:r w:rsidR="006726C7" w:rsidRPr="00856ECB">
        <w:rPr>
          <w:rFonts w:asciiTheme="majorBidi" w:eastAsia="Times New Roman" w:hAnsiTheme="majorBidi" w:cstheme="majorBidi"/>
          <w:color w:val="000000" w:themeColor="text1"/>
          <w:kern w:val="0"/>
          <w14:ligatures w14:val="none"/>
        </w:rPr>
        <w:t xml:space="preserve"> contains </w:t>
      </w:r>
      <w:r w:rsidR="000A1B29" w:rsidRPr="00856ECB">
        <w:rPr>
          <w:rFonts w:asciiTheme="majorBidi" w:eastAsia="Times New Roman" w:hAnsiTheme="majorBidi" w:cstheme="majorBidi"/>
          <w:color w:val="000000" w:themeColor="text1"/>
          <w:kern w:val="0"/>
          <w14:ligatures w14:val="none"/>
        </w:rPr>
        <w:t>approximately</w:t>
      </w:r>
      <w:r w:rsidR="006726C7" w:rsidRPr="00856ECB">
        <w:rPr>
          <w:rFonts w:asciiTheme="majorBidi" w:eastAsia="Times New Roman" w:hAnsiTheme="majorBidi" w:cstheme="majorBidi"/>
          <w:color w:val="000000" w:themeColor="text1"/>
          <w:kern w:val="0"/>
          <w14:ligatures w14:val="none"/>
        </w:rPr>
        <w:t xml:space="preserve"> 10</w:t>
      </w:r>
      <w:r w:rsidR="006726C7" w:rsidRPr="00856ECB">
        <w:rPr>
          <w:rFonts w:asciiTheme="majorBidi" w:eastAsia="Times New Roman" w:hAnsiTheme="majorBidi" w:cstheme="majorBidi"/>
          <w:color w:val="000000" w:themeColor="text1"/>
          <w:kern w:val="0"/>
          <w:vertAlign w:val="superscript"/>
          <w14:ligatures w14:val="none"/>
        </w:rPr>
        <w:t>14</w:t>
      </w:r>
      <w:r w:rsidR="006726C7" w:rsidRPr="00856ECB">
        <w:rPr>
          <w:rFonts w:asciiTheme="majorBidi" w:eastAsia="Times New Roman" w:hAnsiTheme="majorBidi" w:cstheme="majorBidi"/>
          <w:color w:val="000000" w:themeColor="text1"/>
          <w:kern w:val="0"/>
          <w14:ligatures w14:val="none"/>
        </w:rPr>
        <w:t xml:space="preserve"> bacteria </w:t>
      </w:r>
      <w:r w:rsidR="00D00180" w:rsidRPr="00856ECB">
        <w:rPr>
          <w:rFonts w:asciiTheme="majorBidi" w:eastAsia="Times New Roman" w:hAnsiTheme="majorBidi" w:cstheme="majorBidi"/>
          <w:color w:val="000000" w:themeColor="text1"/>
          <w:kern w:val="0"/>
          <w14:ligatures w14:val="none"/>
        </w:rPr>
        <w:fldChar w:fldCharType="begin"/>
      </w:r>
      <w:r w:rsidR="008D6C80" w:rsidRPr="00856ECB">
        <w:rPr>
          <w:rFonts w:asciiTheme="majorBidi" w:eastAsia="Times New Roman" w:hAnsiTheme="majorBidi" w:cstheme="majorBidi"/>
          <w:color w:val="000000" w:themeColor="text1"/>
          <w:kern w:val="0"/>
          <w14:ligatures w14:val="none"/>
        </w:rPr>
        <w:instrText xml:space="preserve"> ADDIN EN.CITE &lt;EndNote&gt;&lt;Cite&gt;&lt;Author&gt;Thursby&lt;/Author&gt;&lt;Year&gt;2017&lt;/Year&gt;&lt;RecNum&gt;312&lt;/RecNum&gt;&lt;DisplayText&gt;(4)&lt;/DisplayText&gt;&lt;record&gt;&lt;rec-number&gt;312&lt;/rec-number&gt;&lt;foreign-keys&gt;&lt;key app="EN" db-id="exwvr9fd40te9ner0f4ptrrorttf9svzawdd" timestamp="1751875843"&gt;312&lt;/key&gt;&lt;/foreign-keys&gt;&lt;ref-type name="Journal Article"&gt;17&lt;/ref-type&gt;&lt;contributors&gt;&lt;authors&gt;&lt;author&gt;Thursby, Elizabeth&lt;/author&gt;&lt;author&gt;Juge, Nathalie&lt;/author&gt;&lt;/authors&gt;&lt;/contributors&gt;&lt;titles&gt;&lt;title&gt;Introduction to the human gut microbiota&lt;/title&gt;&lt;secondary-title&gt;Biochemical journal&lt;/secondary-title&gt;&lt;/titles&gt;&lt;periodical&gt;&lt;full-title&gt;Biochemical journal&lt;/full-title&gt;&lt;/periodical&gt;&lt;pages&gt;1823-1836&lt;/pages&gt;&lt;volume&gt;474&lt;/volume&gt;&lt;number&gt;11&lt;/number&gt;&lt;dates&gt;&lt;year&gt;2017&lt;/year&gt;&lt;/dates&gt;&lt;isbn&gt;0264-6021&lt;/isbn&gt;&lt;urls&gt;&lt;/urls&gt;&lt;/record&gt;&lt;/Cite&gt;&lt;/EndNote&gt;</w:instrText>
      </w:r>
      <w:r w:rsidR="00D00180" w:rsidRPr="00856ECB">
        <w:rPr>
          <w:rFonts w:asciiTheme="majorBidi" w:eastAsia="Times New Roman" w:hAnsiTheme="majorBidi" w:cstheme="majorBidi"/>
          <w:color w:val="000000" w:themeColor="text1"/>
          <w:kern w:val="0"/>
          <w14:ligatures w14:val="none"/>
        </w:rPr>
        <w:fldChar w:fldCharType="separate"/>
      </w:r>
      <w:r w:rsidR="008D6C80" w:rsidRPr="00856ECB">
        <w:rPr>
          <w:rFonts w:asciiTheme="majorBidi" w:eastAsia="Times New Roman" w:hAnsiTheme="majorBidi" w:cstheme="majorBidi"/>
          <w:noProof/>
          <w:color w:val="000000" w:themeColor="text1"/>
          <w:kern w:val="0"/>
          <w14:ligatures w14:val="none"/>
        </w:rPr>
        <w:t>(4)</w:t>
      </w:r>
      <w:r w:rsidR="00D00180" w:rsidRPr="00856ECB">
        <w:rPr>
          <w:rFonts w:asciiTheme="majorBidi" w:eastAsia="Times New Roman" w:hAnsiTheme="majorBidi" w:cstheme="majorBidi"/>
          <w:color w:val="000000" w:themeColor="text1"/>
          <w:kern w:val="0"/>
          <w14:ligatures w14:val="none"/>
        </w:rPr>
        <w:fldChar w:fldCharType="end"/>
      </w:r>
      <w:r w:rsidR="00C42452" w:rsidRPr="00856ECB">
        <w:rPr>
          <w:rFonts w:asciiTheme="majorBidi" w:eastAsia="Times New Roman" w:hAnsiTheme="majorBidi" w:cstheme="majorBidi"/>
          <w:color w:val="000000" w:themeColor="text1"/>
          <w:kern w:val="0"/>
          <w14:ligatures w14:val="none"/>
        </w:rPr>
        <w:t>, and</w:t>
      </w:r>
      <w:r w:rsidR="00744B82" w:rsidRPr="00856ECB">
        <w:rPr>
          <w:rFonts w:asciiTheme="majorBidi" w:eastAsia="Times New Roman" w:hAnsiTheme="majorBidi" w:cstheme="majorBidi"/>
          <w:color w:val="000000" w:themeColor="text1"/>
          <w:kern w:val="0"/>
          <w14:ligatures w14:val="none"/>
        </w:rPr>
        <w:t xml:space="preserve"> </w:t>
      </w:r>
      <w:r w:rsidR="0017362F" w:rsidRPr="00856ECB">
        <w:rPr>
          <w:rFonts w:asciiTheme="majorBidi" w:eastAsia="Times New Roman" w:hAnsiTheme="majorBidi" w:cstheme="majorBidi"/>
          <w:color w:val="000000" w:themeColor="text1"/>
          <w:kern w:val="0"/>
          <w14:ligatures w14:val="none"/>
        </w:rPr>
        <w:t>has been shown to exert significant influence over neurological health.</w:t>
      </w:r>
      <w:r w:rsidR="00C42452" w:rsidRPr="00856ECB">
        <w:rPr>
          <w:rFonts w:asciiTheme="majorBidi" w:eastAsia="Times New Roman" w:hAnsiTheme="majorBidi" w:cstheme="majorBidi"/>
          <w:color w:val="000000" w:themeColor="text1"/>
          <w:kern w:val="0"/>
          <w14:ligatures w14:val="none"/>
        </w:rPr>
        <w:t xml:space="preserve"> Microbial imbalances have been implicated in the pathophysiology of disorders such as Parkinson’s and Alzheimer’s disease, in part through their effects on microglial activation, </w:t>
      </w:r>
      <w:proofErr w:type="spellStart"/>
      <w:r w:rsidR="00C42452" w:rsidRPr="00856ECB">
        <w:rPr>
          <w:rFonts w:asciiTheme="majorBidi" w:eastAsia="Times New Roman" w:hAnsiTheme="majorBidi" w:cstheme="majorBidi"/>
          <w:color w:val="000000" w:themeColor="text1"/>
          <w:kern w:val="0"/>
          <w14:ligatures w14:val="none"/>
        </w:rPr>
        <w:t>neuroinflammation</w:t>
      </w:r>
      <w:proofErr w:type="spellEnd"/>
      <w:r w:rsidR="00C42452" w:rsidRPr="00856ECB">
        <w:rPr>
          <w:rFonts w:asciiTheme="majorBidi" w:eastAsia="Times New Roman" w:hAnsiTheme="majorBidi" w:cstheme="majorBidi"/>
          <w:color w:val="000000" w:themeColor="text1"/>
          <w:kern w:val="0"/>
          <w14:ligatures w14:val="none"/>
        </w:rPr>
        <w:t>, and synaptic plasticity</w:t>
      </w:r>
      <w:r w:rsidR="00304DB0" w:rsidRPr="00856ECB">
        <w:rPr>
          <w:rFonts w:asciiTheme="majorBidi" w:eastAsia="Times New Roman" w:hAnsiTheme="majorBidi" w:cstheme="majorBidi"/>
          <w:color w:val="000000" w:themeColor="text1"/>
          <w:kern w:val="0"/>
          <w14:ligatures w14:val="none"/>
        </w:rPr>
        <w:t xml:space="preserve"> </w:t>
      </w:r>
      <w:r w:rsidR="00304DB0" w:rsidRPr="00856ECB">
        <w:rPr>
          <w:rFonts w:asciiTheme="majorBidi" w:eastAsia="Times New Roman" w:hAnsiTheme="majorBidi" w:cstheme="majorBidi"/>
          <w:color w:val="000000" w:themeColor="text1"/>
          <w:kern w:val="0"/>
          <w14:ligatures w14:val="none"/>
        </w:rPr>
        <w:fldChar w:fldCharType="begin"/>
      </w:r>
      <w:r w:rsidR="008D6C80" w:rsidRPr="00856ECB">
        <w:rPr>
          <w:rFonts w:asciiTheme="majorBidi" w:eastAsia="Times New Roman" w:hAnsiTheme="majorBidi" w:cstheme="majorBidi"/>
          <w:color w:val="000000" w:themeColor="text1"/>
          <w:kern w:val="0"/>
          <w14:ligatures w14:val="none"/>
        </w:rPr>
        <w:instrText xml:space="preserve"> ADDIN EN.CITE &lt;EndNote&gt;&lt;Cite&gt;&lt;Author&gt;Kustrimovic&lt;/Author&gt;&lt;Year&gt;2024&lt;/Year&gt;&lt;RecNum&gt;336&lt;/RecNum&gt;&lt;DisplayText&gt;(5)&lt;/DisplayText&gt;&lt;record&gt;&lt;rec-number&gt;336&lt;/rec-number&gt;&lt;foreign-keys&gt;&lt;key app="EN" db-id="exwvr9fd40te9ner0f4ptrrorttf9svzawdd" timestamp="1752039880"&gt;336&lt;/key&gt;&lt;/foreign-keys&gt;&lt;ref-type name="Journal Article"&gt;17&lt;/ref-type&gt;&lt;contributors&gt;&lt;authors&gt;&lt;author&gt;Kustrimovic, Natasa&lt;/author&gt;&lt;author&gt;Balkhi, Sahar&lt;/author&gt;&lt;author&gt;Bilato, Giorgia&lt;/author&gt;&lt;author&gt;Mortara, Lorenzo&lt;/author&gt;&lt;/authors&gt;&lt;/contributors&gt;&lt;titles&gt;&lt;title&gt;Gut Microbiota and Immune System Dynamics in Parkinson’s and Alzheimer’s Diseases&lt;/title&gt;&lt;secondary-title&gt;International Journal of Molecular Sciences&lt;/secondary-title&gt;&lt;/titles&gt;&lt;periodical&gt;&lt;full-title&gt;International journal of molecular sciences&lt;/full-title&gt;&lt;/periodical&gt;&lt;pages&gt;12164&lt;/pages&gt;&lt;volume&gt;25&lt;/volume&gt;&lt;number&gt;22&lt;/number&gt;&lt;dates&gt;&lt;year&gt;2024&lt;/year&gt;&lt;/dates&gt;&lt;isbn&gt;1422-0067&lt;/isbn&gt;&lt;urls&gt;&lt;/urls&gt;&lt;/record&gt;&lt;/Cite&gt;&lt;/EndNote&gt;</w:instrText>
      </w:r>
      <w:r w:rsidR="00304DB0" w:rsidRPr="00856ECB">
        <w:rPr>
          <w:rFonts w:asciiTheme="majorBidi" w:eastAsia="Times New Roman" w:hAnsiTheme="majorBidi" w:cstheme="majorBidi"/>
          <w:color w:val="000000" w:themeColor="text1"/>
          <w:kern w:val="0"/>
          <w14:ligatures w14:val="none"/>
        </w:rPr>
        <w:fldChar w:fldCharType="separate"/>
      </w:r>
      <w:r w:rsidR="008D6C80" w:rsidRPr="00856ECB">
        <w:rPr>
          <w:rFonts w:asciiTheme="majorBidi" w:eastAsia="Times New Roman" w:hAnsiTheme="majorBidi" w:cstheme="majorBidi"/>
          <w:noProof/>
          <w:color w:val="000000" w:themeColor="text1"/>
          <w:kern w:val="0"/>
          <w14:ligatures w14:val="none"/>
        </w:rPr>
        <w:t>(5)</w:t>
      </w:r>
      <w:r w:rsidR="00304DB0" w:rsidRPr="00856ECB">
        <w:rPr>
          <w:rFonts w:asciiTheme="majorBidi" w:eastAsia="Times New Roman" w:hAnsiTheme="majorBidi" w:cstheme="majorBidi"/>
          <w:color w:val="000000" w:themeColor="text1"/>
          <w:kern w:val="0"/>
          <w14:ligatures w14:val="none"/>
        </w:rPr>
        <w:fldChar w:fldCharType="end"/>
      </w:r>
      <w:r w:rsidR="00824F07" w:rsidRPr="00856ECB">
        <w:rPr>
          <w:rFonts w:asciiTheme="majorBidi" w:eastAsia="Times New Roman" w:hAnsiTheme="majorBidi" w:cstheme="majorBidi"/>
          <w:color w:val="000000" w:themeColor="text1"/>
          <w:kern w:val="0"/>
          <w14:ligatures w14:val="none"/>
        </w:rPr>
        <w:t xml:space="preserve">. </w:t>
      </w:r>
      <w:r w:rsidRPr="00856ECB">
        <w:rPr>
          <w:rFonts w:asciiTheme="majorBidi" w:eastAsia="Times New Roman" w:hAnsiTheme="majorBidi" w:cstheme="majorBidi"/>
          <w:color w:val="000000" w:themeColor="text1"/>
          <w:kern w:val="0"/>
          <w14:ligatures w14:val="none"/>
        </w:rPr>
        <w:t xml:space="preserve">Gut </w:t>
      </w:r>
      <w:proofErr w:type="spellStart"/>
      <w:r w:rsidRPr="00856ECB">
        <w:rPr>
          <w:rFonts w:asciiTheme="majorBidi" w:eastAsia="Times New Roman" w:hAnsiTheme="majorBidi" w:cstheme="majorBidi"/>
          <w:color w:val="000000" w:themeColor="text1"/>
          <w:kern w:val="0"/>
          <w14:ligatures w14:val="none"/>
        </w:rPr>
        <w:t>microbiota</w:t>
      </w:r>
      <w:proofErr w:type="spellEnd"/>
      <w:r w:rsidRPr="00856ECB">
        <w:rPr>
          <w:rFonts w:asciiTheme="majorBidi" w:eastAsia="Times New Roman" w:hAnsiTheme="majorBidi" w:cstheme="majorBidi"/>
          <w:color w:val="000000" w:themeColor="text1"/>
          <w:kern w:val="0"/>
          <w14:ligatures w14:val="none"/>
        </w:rPr>
        <w:t xml:space="preserve">-derived metabolites such as short-chain fatty acids (SCFAs), neurotransmitters and neuromodulators can </w:t>
      </w:r>
      <w:r w:rsidR="00C42452" w:rsidRPr="00856ECB">
        <w:rPr>
          <w:rFonts w:asciiTheme="majorBidi" w:eastAsia="Times New Roman" w:hAnsiTheme="majorBidi" w:cstheme="majorBidi"/>
          <w:color w:val="000000" w:themeColor="text1"/>
          <w:kern w:val="0"/>
          <w14:ligatures w14:val="none"/>
        </w:rPr>
        <w:t>traverse</w:t>
      </w:r>
      <w:r w:rsidRPr="00856ECB">
        <w:rPr>
          <w:rFonts w:asciiTheme="majorBidi" w:eastAsia="Times New Roman" w:hAnsiTheme="majorBidi" w:cstheme="majorBidi"/>
          <w:color w:val="000000" w:themeColor="text1"/>
          <w:kern w:val="0"/>
          <w14:ligatures w14:val="none"/>
        </w:rPr>
        <w:t xml:space="preserve"> the blood-brain barrier</w:t>
      </w:r>
      <w:r w:rsidR="00C42452" w:rsidRPr="00856ECB">
        <w:rPr>
          <w:rFonts w:asciiTheme="majorBidi" w:eastAsia="Times New Roman" w:hAnsiTheme="majorBidi" w:cstheme="majorBidi"/>
          <w:color w:val="000000" w:themeColor="text1"/>
          <w:kern w:val="0"/>
          <w14:ligatures w14:val="none"/>
        </w:rPr>
        <w:t xml:space="preserve">, modulate neurotransmitter systems, and influence central nervous system integrity. These interactions underscore the therapeutic potential of </w:t>
      </w:r>
      <w:proofErr w:type="spellStart"/>
      <w:r w:rsidR="00C42452" w:rsidRPr="00856ECB">
        <w:rPr>
          <w:rFonts w:asciiTheme="majorBidi" w:eastAsia="Times New Roman" w:hAnsiTheme="majorBidi" w:cstheme="majorBidi"/>
          <w:color w:val="000000" w:themeColor="text1"/>
          <w:kern w:val="0"/>
          <w14:ligatures w14:val="none"/>
        </w:rPr>
        <w:t>microbiota</w:t>
      </w:r>
      <w:proofErr w:type="spellEnd"/>
      <w:r w:rsidR="00C42452" w:rsidRPr="00856ECB">
        <w:rPr>
          <w:rFonts w:asciiTheme="majorBidi" w:eastAsia="Times New Roman" w:hAnsiTheme="majorBidi" w:cstheme="majorBidi"/>
          <w:color w:val="000000" w:themeColor="text1"/>
          <w:kern w:val="0"/>
          <w14:ligatures w14:val="none"/>
        </w:rPr>
        <w:t>-based interventions</w:t>
      </w:r>
      <w:r w:rsidR="00D00180" w:rsidRPr="00856ECB">
        <w:rPr>
          <w:rFonts w:asciiTheme="majorBidi" w:eastAsia="Times New Roman" w:hAnsiTheme="majorBidi" w:cstheme="majorBidi"/>
          <w:color w:val="000000" w:themeColor="text1"/>
          <w:kern w:val="0"/>
          <w14:ligatures w14:val="none"/>
        </w:rPr>
        <w:t xml:space="preserve"> </w:t>
      </w:r>
      <w:r w:rsidR="00D00180" w:rsidRPr="00856ECB">
        <w:rPr>
          <w:rFonts w:asciiTheme="majorBidi" w:eastAsia="Times New Roman" w:hAnsiTheme="majorBidi" w:cstheme="majorBidi"/>
          <w:color w:val="000000" w:themeColor="text1"/>
          <w:kern w:val="0"/>
          <w14:ligatures w14:val="none"/>
        </w:rPr>
        <w:fldChar w:fldCharType="begin"/>
      </w:r>
      <w:r w:rsidR="008D6C80" w:rsidRPr="00856ECB">
        <w:rPr>
          <w:rFonts w:asciiTheme="majorBidi" w:eastAsia="Times New Roman" w:hAnsiTheme="majorBidi" w:cstheme="majorBidi"/>
          <w:color w:val="000000" w:themeColor="text1"/>
          <w:kern w:val="0"/>
          <w14:ligatures w14:val="none"/>
        </w:rPr>
        <w:instrText xml:space="preserve"> ADDIN EN.CITE &lt;EndNote&gt;&lt;Cite&gt;&lt;Author&gt;Kustrimovic&lt;/Author&gt;&lt;Year&gt;2024&lt;/Year&gt;&lt;RecNum&gt;336&lt;/RecNum&gt;&lt;DisplayText&gt;(5)&lt;/DisplayText&gt;&lt;record&gt;&lt;rec-number&gt;336&lt;/rec-number&gt;&lt;foreign-keys&gt;&lt;key app="EN" db-id="exwvr9fd40te9ner0f4ptrrorttf9svzawdd" timestamp="1752039880"&gt;336&lt;/key&gt;&lt;/foreign-keys&gt;&lt;ref-type name="Journal Article"&gt;17&lt;/ref-type&gt;&lt;contributors&gt;&lt;authors&gt;&lt;author&gt;Kustrimovic, Natasa&lt;/author&gt;&lt;author&gt;Balkhi, Sahar&lt;/author&gt;&lt;author&gt;Bilato, Giorgia&lt;/author&gt;&lt;author&gt;Mortara, Lorenzo&lt;/author&gt;&lt;/authors&gt;&lt;/contributors&gt;&lt;titles&gt;&lt;title&gt;Gut Microbiota and Immune System Dynamics in Parkinson’s and Alzheimer’s Diseases&lt;/title&gt;&lt;secondary-title&gt;International Journal of Molecular Sciences&lt;/secondary-title&gt;&lt;/titles&gt;&lt;periodical&gt;&lt;full-title&gt;International journal of molecular sciences&lt;/full-title&gt;&lt;/periodical&gt;&lt;pages&gt;12164&lt;/pages&gt;&lt;volume&gt;25&lt;/volume&gt;&lt;number&gt;22&lt;/number&gt;&lt;dates&gt;&lt;year&gt;2024&lt;/year&gt;&lt;/dates&gt;&lt;isbn&gt;1422-0067&lt;/isbn&gt;&lt;urls&gt;&lt;/urls&gt;&lt;/record&gt;&lt;/Cite&gt;&lt;/EndNote&gt;</w:instrText>
      </w:r>
      <w:r w:rsidR="00D00180" w:rsidRPr="00856ECB">
        <w:rPr>
          <w:rFonts w:asciiTheme="majorBidi" w:eastAsia="Times New Roman" w:hAnsiTheme="majorBidi" w:cstheme="majorBidi"/>
          <w:color w:val="000000" w:themeColor="text1"/>
          <w:kern w:val="0"/>
          <w14:ligatures w14:val="none"/>
        </w:rPr>
        <w:fldChar w:fldCharType="separate"/>
      </w:r>
      <w:r w:rsidR="008D6C80" w:rsidRPr="00856ECB">
        <w:rPr>
          <w:rFonts w:asciiTheme="majorBidi" w:eastAsia="Times New Roman" w:hAnsiTheme="majorBidi" w:cstheme="majorBidi"/>
          <w:noProof/>
          <w:color w:val="000000" w:themeColor="text1"/>
          <w:kern w:val="0"/>
          <w14:ligatures w14:val="none"/>
        </w:rPr>
        <w:t>(5)</w:t>
      </w:r>
      <w:r w:rsidR="00D00180" w:rsidRPr="00856ECB">
        <w:rPr>
          <w:rFonts w:asciiTheme="majorBidi" w:eastAsia="Times New Roman" w:hAnsiTheme="majorBidi" w:cstheme="majorBidi"/>
          <w:color w:val="000000" w:themeColor="text1"/>
          <w:kern w:val="0"/>
          <w14:ligatures w14:val="none"/>
        </w:rPr>
        <w:fldChar w:fldCharType="end"/>
      </w:r>
      <w:r w:rsidR="00437426" w:rsidRPr="00856ECB">
        <w:rPr>
          <w:rFonts w:asciiTheme="majorBidi" w:eastAsia="Times New Roman" w:hAnsiTheme="majorBidi" w:cstheme="majorBidi"/>
          <w:color w:val="000000" w:themeColor="text1"/>
          <w:kern w:val="0"/>
          <w14:ligatures w14:val="none"/>
        </w:rPr>
        <w:t xml:space="preserve">. </w:t>
      </w:r>
      <w:proofErr w:type="spellStart"/>
      <w:r w:rsidRPr="00856ECB">
        <w:rPr>
          <w:rFonts w:asciiTheme="majorBidi" w:eastAsia="Times New Roman" w:hAnsiTheme="majorBidi" w:cstheme="majorBidi"/>
          <w:color w:val="000000" w:themeColor="text1"/>
          <w:kern w:val="0"/>
          <w14:ligatures w14:val="none"/>
        </w:rPr>
        <w:t>Dysbiosis</w:t>
      </w:r>
      <w:proofErr w:type="spellEnd"/>
      <w:r w:rsidRPr="00856ECB">
        <w:rPr>
          <w:rFonts w:asciiTheme="majorBidi" w:eastAsia="Times New Roman" w:hAnsiTheme="majorBidi" w:cstheme="majorBidi"/>
          <w:color w:val="000000" w:themeColor="text1"/>
          <w:kern w:val="0"/>
          <w14:ligatures w14:val="none"/>
        </w:rPr>
        <w:t xml:space="preserve"> has been linked to altered brain connectivity and accelerated aging in conditions, highlighting the role of the </w:t>
      </w:r>
      <w:proofErr w:type="spellStart"/>
      <w:r w:rsidRPr="00856ECB">
        <w:rPr>
          <w:rFonts w:asciiTheme="majorBidi" w:eastAsia="Times New Roman" w:hAnsiTheme="majorBidi" w:cstheme="majorBidi"/>
          <w:color w:val="000000" w:themeColor="text1"/>
          <w:kern w:val="0"/>
          <w14:ligatures w14:val="none"/>
        </w:rPr>
        <w:t>microbiota</w:t>
      </w:r>
      <w:proofErr w:type="spellEnd"/>
      <w:r w:rsidRPr="00856ECB">
        <w:rPr>
          <w:rFonts w:asciiTheme="majorBidi" w:eastAsia="Times New Roman" w:hAnsiTheme="majorBidi" w:cstheme="majorBidi"/>
          <w:color w:val="000000" w:themeColor="text1"/>
          <w:kern w:val="0"/>
          <w14:ligatures w14:val="none"/>
        </w:rPr>
        <w:t xml:space="preserve"> in neuropsychiatric health</w:t>
      </w:r>
      <w:r w:rsidR="00D00180" w:rsidRPr="00856ECB">
        <w:rPr>
          <w:rFonts w:asciiTheme="majorBidi" w:eastAsia="Times New Roman" w:hAnsiTheme="majorBidi" w:cstheme="majorBidi"/>
          <w:color w:val="000000" w:themeColor="text1"/>
          <w:kern w:val="0"/>
          <w14:ligatures w14:val="none"/>
        </w:rPr>
        <w:t xml:space="preserve"> </w:t>
      </w:r>
      <w:r w:rsidR="00D00180" w:rsidRPr="00856ECB">
        <w:rPr>
          <w:rFonts w:asciiTheme="majorBidi" w:eastAsia="Times New Roman" w:hAnsiTheme="majorBidi" w:cstheme="majorBidi"/>
          <w:color w:val="000000" w:themeColor="text1"/>
          <w:kern w:val="0"/>
          <w14:ligatures w14:val="none"/>
        </w:rPr>
        <w:fldChar w:fldCharType="begin"/>
      </w:r>
      <w:r w:rsidR="008D6C80" w:rsidRPr="00856ECB">
        <w:rPr>
          <w:rFonts w:asciiTheme="majorBidi" w:eastAsia="Times New Roman" w:hAnsiTheme="majorBidi" w:cstheme="majorBidi"/>
          <w:color w:val="000000" w:themeColor="text1"/>
          <w:kern w:val="0"/>
          <w14:ligatures w14:val="none"/>
        </w:rPr>
        <w:instrText xml:space="preserve"> ADDIN EN.CITE &lt;EndNote&gt;&lt;Cite&gt;&lt;Author&gt;Hadrich&lt;/Author&gt;&lt;Year&gt;2025&lt;/Year&gt;&lt;RecNum&gt;337&lt;/RecNum&gt;&lt;DisplayText&gt;(6)&lt;/DisplayText&gt;&lt;record&gt;&lt;rec-number&gt;337&lt;/rec-number&gt;&lt;foreign-keys&gt;&lt;key app="EN" db-id="exwvr9fd40te9ner0f4ptrrorttf9svzawdd" timestamp="1752040076"&gt;337&lt;/key&gt;&lt;/foreign-keys&gt;&lt;ref-type name="Journal Article"&gt;17&lt;/ref-type&gt;&lt;contributors&gt;&lt;authors&gt;&lt;author&gt;Hadrich, Ines&lt;/author&gt;&lt;author&gt;Turki, Mariem&lt;/author&gt;&lt;author&gt;Chaari, Imen&lt;/author&gt;&lt;author&gt;Abdelmoula, Balkiss&lt;/author&gt;&lt;author&gt;Gargouri, Rahma&lt;/author&gt;&lt;author&gt;Khemakhem, Nahed&lt;/author&gt;&lt;author&gt;Elatoui, Dhawia&lt;/author&gt;&lt;author&gt;Abid, Fatma&lt;/author&gt;&lt;author&gt;Kammoun, Sonda&lt;/author&gt;&lt;author&gt;Rekik, Mona&lt;/author&gt;&lt;/authors&gt;&lt;/contributors&gt;&lt;titles&gt;&lt;title&gt;Gut mycobiome and neuropsychiatric disorders: insights and therapeutic potential&lt;/title&gt;&lt;secondary-title&gt;Frontiers in Cellular Neuroscience&lt;/secondary-title&gt;&lt;/titles&gt;&lt;periodical&gt;&lt;full-title&gt;Frontiers in Cellular Neuroscience&lt;/full-title&gt;&lt;/periodical&gt;&lt;pages&gt;1495224&lt;/pages&gt;&lt;volume&gt;18&lt;/volume&gt;&lt;dates&gt;&lt;year&gt;2025&lt;/year&gt;&lt;/dates&gt;&lt;isbn&gt;1662-5102&lt;/isbn&gt;&lt;urls&gt;&lt;/urls&gt;&lt;/record&gt;&lt;/Cite&gt;&lt;/EndNote&gt;</w:instrText>
      </w:r>
      <w:r w:rsidR="00D00180" w:rsidRPr="00856ECB">
        <w:rPr>
          <w:rFonts w:asciiTheme="majorBidi" w:eastAsia="Times New Roman" w:hAnsiTheme="majorBidi" w:cstheme="majorBidi"/>
          <w:color w:val="000000" w:themeColor="text1"/>
          <w:kern w:val="0"/>
          <w14:ligatures w14:val="none"/>
        </w:rPr>
        <w:fldChar w:fldCharType="separate"/>
      </w:r>
      <w:r w:rsidR="008D6C80" w:rsidRPr="00856ECB">
        <w:rPr>
          <w:rFonts w:asciiTheme="majorBidi" w:eastAsia="Times New Roman" w:hAnsiTheme="majorBidi" w:cstheme="majorBidi"/>
          <w:noProof/>
          <w:color w:val="000000" w:themeColor="text1"/>
          <w:kern w:val="0"/>
          <w14:ligatures w14:val="none"/>
        </w:rPr>
        <w:t>(6)</w:t>
      </w:r>
      <w:r w:rsidR="00D00180" w:rsidRPr="00856ECB">
        <w:rPr>
          <w:rFonts w:asciiTheme="majorBidi" w:eastAsia="Times New Roman" w:hAnsiTheme="majorBidi" w:cstheme="majorBidi"/>
          <w:color w:val="000000" w:themeColor="text1"/>
          <w:kern w:val="0"/>
          <w14:ligatures w14:val="none"/>
        </w:rPr>
        <w:fldChar w:fldCharType="end"/>
      </w:r>
      <w:r w:rsidR="00824F07" w:rsidRPr="00856ECB">
        <w:rPr>
          <w:rFonts w:asciiTheme="majorBidi" w:eastAsia="Times New Roman" w:hAnsiTheme="majorBidi" w:cstheme="majorBidi"/>
          <w:color w:val="000000" w:themeColor="text1"/>
          <w:kern w:val="0"/>
          <w14:ligatures w14:val="none"/>
        </w:rPr>
        <w:t>.</w:t>
      </w:r>
      <w:r w:rsidR="00437426" w:rsidRPr="00856ECB">
        <w:rPr>
          <w:rFonts w:asciiTheme="majorBidi" w:eastAsia="Times New Roman" w:hAnsiTheme="majorBidi" w:cstheme="majorBidi"/>
          <w:color w:val="000000" w:themeColor="text1"/>
          <w:kern w:val="0"/>
          <w14:ligatures w14:val="none"/>
        </w:rPr>
        <w:t xml:space="preserve"> </w:t>
      </w:r>
    </w:p>
    <w:p w14:paraId="0DCEB222" w14:textId="7053B5D3" w:rsidR="00D25829" w:rsidRPr="00856ECB" w:rsidRDefault="00C42452" w:rsidP="009A0C39">
      <w:pPr>
        <w:spacing w:line="276" w:lineRule="auto"/>
        <w:jc w:val="both"/>
        <w:rPr>
          <w:rFonts w:asciiTheme="majorBidi" w:hAnsiTheme="majorBidi" w:cstheme="majorBidi"/>
          <w:color w:val="000000" w:themeColor="text1"/>
        </w:rPr>
      </w:pPr>
      <w:r w:rsidRPr="00856ECB">
        <w:rPr>
          <w:rFonts w:asciiTheme="majorBidi" w:hAnsiTheme="majorBidi" w:cstheme="majorBidi"/>
          <w:color w:val="000000" w:themeColor="text1"/>
        </w:rPr>
        <w:t xml:space="preserve">The gut-brain axis can be modulated through interventions involving </w:t>
      </w:r>
      <w:proofErr w:type="spellStart"/>
      <w:r w:rsidRPr="00856ECB">
        <w:rPr>
          <w:rFonts w:asciiTheme="majorBidi" w:hAnsiTheme="majorBidi" w:cstheme="majorBidi"/>
          <w:color w:val="000000" w:themeColor="text1"/>
        </w:rPr>
        <w:t>microbiota</w:t>
      </w:r>
      <w:proofErr w:type="spellEnd"/>
      <w:r w:rsidRPr="00856ECB">
        <w:rPr>
          <w:rFonts w:asciiTheme="majorBidi" w:hAnsiTheme="majorBidi" w:cstheme="majorBidi"/>
          <w:color w:val="000000" w:themeColor="text1"/>
        </w:rPr>
        <w:t xml:space="preserve">, probiotics, and </w:t>
      </w:r>
      <w:proofErr w:type="spellStart"/>
      <w:r w:rsidRPr="00856ECB">
        <w:rPr>
          <w:rFonts w:asciiTheme="majorBidi" w:hAnsiTheme="majorBidi" w:cstheme="majorBidi"/>
          <w:color w:val="000000" w:themeColor="text1"/>
        </w:rPr>
        <w:t>postbiotics</w:t>
      </w:r>
      <w:proofErr w:type="spellEnd"/>
      <w:r w:rsidRPr="00856ECB">
        <w:rPr>
          <w:rFonts w:asciiTheme="majorBidi" w:hAnsiTheme="majorBidi" w:cstheme="majorBidi"/>
          <w:color w:val="000000" w:themeColor="text1"/>
        </w:rPr>
        <w:t xml:space="preserve">. </w:t>
      </w:r>
      <w:r w:rsidR="00380DC3" w:rsidRPr="00856ECB">
        <w:rPr>
          <w:rFonts w:asciiTheme="majorBidi" w:hAnsiTheme="majorBidi" w:cstheme="majorBidi"/>
          <w:color w:val="000000" w:themeColor="text1"/>
        </w:rPr>
        <w:t xml:space="preserve">Probiotics are </w:t>
      </w:r>
      <w:r w:rsidR="00F14355" w:rsidRPr="00856ECB">
        <w:rPr>
          <w:rFonts w:asciiTheme="majorBidi" w:hAnsiTheme="majorBidi" w:cstheme="majorBidi"/>
          <w:color w:val="000000" w:themeColor="text1"/>
        </w:rPr>
        <w:t xml:space="preserve">live microorganisms that promote gut health by enhancing the intestinal barrier, modulating immunity, and suppressing harmful bacteria. </w:t>
      </w:r>
      <w:r w:rsidR="003A10DA" w:rsidRPr="00856ECB">
        <w:rPr>
          <w:rFonts w:asciiTheme="majorBidi" w:eastAsia="Times New Roman" w:hAnsiTheme="majorBidi" w:cstheme="majorBidi"/>
          <w:color w:val="000000" w:themeColor="text1"/>
          <w:kern w:val="0"/>
          <w14:ligatures w14:val="none"/>
        </w:rPr>
        <w:t>In contrast</w:t>
      </w:r>
      <w:r w:rsidR="00F14355" w:rsidRPr="00856ECB">
        <w:rPr>
          <w:rFonts w:asciiTheme="majorBidi" w:eastAsia="Times New Roman" w:hAnsiTheme="majorBidi" w:cstheme="majorBidi"/>
          <w:color w:val="000000" w:themeColor="text1"/>
          <w:kern w:val="0"/>
          <w14:ligatures w14:val="none"/>
        </w:rPr>
        <w:t xml:space="preserve">, </w:t>
      </w:r>
      <w:proofErr w:type="spellStart"/>
      <w:r w:rsidR="00F14355" w:rsidRPr="00856ECB">
        <w:rPr>
          <w:rFonts w:asciiTheme="majorBidi" w:hAnsiTheme="majorBidi" w:cstheme="majorBidi"/>
          <w:color w:val="000000" w:themeColor="text1"/>
        </w:rPr>
        <w:t>Postbiotics</w:t>
      </w:r>
      <w:proofErr w:type="spellEnd"/>
      <w:r w:rsidR="00F14355" w:rsidRPr="00856ECB">
        <w:rPr>
          <w:rFonts w:asciiTheme="majorBidi" w:hAnsiTheme="majorBidi" w:cstheme="majorBidi"/>
          <w:color w:val="000000" w:themeColor="text1"/>
        </w:rPr>
        <w:t xml:space="preserve"> are non-living microbes or their components, offering health benefits through bioactive compounds like SCFAs, </w:t>
      </w:r>
      <w:proofErr w:type="spellStart"/>
      <w:r w:rsidR="00F14355" w:rsidRPr="00856ECB">
        <w:rPr>
          <w:rFonts w:asciiTheme="majorBidi" w:hAnsiTheme="majorBidi" w:cstheme="majorBidi"/>
          <w:color w:val="000000" w:themeColor="text1"/>
        </w:rPr>
        <w:t>exopolysaccharides</w:t>
      </w:r>
      <w:proofErr w:type="spellEnd"/>
      <w:r w:rsidR="00F14355" w:rsidRPr="00856ECB">
        <w:rPr>
          <w:rFonts w:asciiTheme="majorBidi" w:hAnsiTheme="majorBidi" w:cstheme="majorBidi"/>
          <w:color w:val="000000" w:themeColor="text1"/>
        </w:rPr>
        <w:t xml:space="preserve">, and </w:t>
      </w:r>
      <w:proofErr w:type="spellStart"/>
      <w:r w:rsidR="00F14355" w:rsidRPr="00856ECB">
        <w:rPr>
          <w:rFonts w:asciiTheme="majorBidi" w:hAnsiTheme="majorBidi" w:cstheme="majorBidi"/>
          <w:color w:val="000000" w:themeColor="text1"/>
        </w:rPr>
        <w:t>bacteriocins</w:t>
      </w:r>
      <w:proofErr w:type="spellEnd"/>
      <w:r w:rsidR="00F14355" w:rsidRPr="00856ECB">
        <w:rPr>
          <w:rFonts w:asciiTheme="majorBidi" w:hAnsiTheme="majorBidi" w:cstheme="majorBidi"/>
          <w:color w:val="000000" w:themeColor="text1"/>
        </w:rPr>
        <w:t xml:space="preserve">. </w:t>
      </w:r>
      <w:proofErr w:type="spellStart"/>
      <w:r w:rsidR="003A10DA" w:rsidRPr="00856ECB">
        <w:rPr>
          <w:rFonts w:asciiTheme="majorBidi" w:hAnsiTheme="majorBidi" w:cstheme="majorBidi"/>
          <w:color w:val="000000" w:themeColor="text1"/>
        </w:rPr>
        <w:t>p</w:t>
      </w:r>
      <w:r w:rsidR="00380DC3" w:rsidRPr="00856ECB">
        <w:rPr>
          <w:rFonts w:asciiTheme="majorBidi" w:hAnsiTheme="majorBidi" w:cstheme="majorBidi"/>
          <w:color w:val="000000" w:themeColor="text1"/>
        </w:rPr>
        <w:t>ostbiotics</w:t>
      </w:r>
      <w:proofErr w:type="spellEnd"/>
      <w:r w:rsidR="00F14355" w:rsidRPr="00856ECB">
        <w:rPr>
          <w:rFonts w:asciiTheme="majorBidi" w:hAnsiTheme="majorBidi" w:cstheme="majorBidi"/>
          <w:color w:val="000000" w:themeColor="text1"/>
        </w:rPr>
        <w:t xml:space="preserve"> are more stable than probiotics and safer, avoiding risks linked to live microorganisms</w:t>
      </w:r>
      <w:r w:rsidR="009D60ED" w:rsidRPr="00856ECB">
        <w:rPr>
          <w:rFonts w:asciiTheme="majorBidi" w:hAnsiTheme="majorBidi" w:cstheme="majorBidi"/>
          <w:color w:val="000000" w:themeColor="text1"/>
        </w:rPr>
        <w:t xml:space="preserve"> </w:t>
      </w:r>
      <w:r w:rsidR="009D60ED" w:rsidRPr="00856ECB">
        <w:rPr>
          <w:rFonts w:asciiTheme="majorBidi" w:hAnsiTheme="majorBidi" w:cstheme="majorBidi"/>
          <w:color w:val="000000" w:themeColor="text1"/>
        </w:rPr>
        <w:fldChar w:fldCharType="begin"/>
      </w:r>
      <w:r w:rsidR="008D6C80" w:rsidRPr="00856ECB">
        <w:rPr>
          <w:rFonts w:asciiTheme="majorBidi" w:hAnsiTheme="majorBidi" w:cstheme="majorBidi"/>
          <w:color w:val="000000" w:themeColor="text1"/>
        </w:rPr>
        <w:instrText xml:space="preserve"> ADDIN EN.CITE &lt;EndNote&gt;&lt;Cite&gt;&lt;Author&gt;Zhou&lt;/Author&gt;&lt;Year&gt;2024&lt;/Year&gt;&lt;RecNum&gt;338&lt;/RecNum&gt;&lt;DisplayText&gt;(7)&lt;/DisplayText&gt;&lt;record&gt;&lt;rec-number&gt;338&lt;/rec-number&gt;&lt;foreign-keys&gt;&lt;key app="EN" db-id="exwvr9fd40te9ner0f4ptrrorttf9svzawdd" timestamp="1752040343"&gt;338&lt;/key&gt;&lt;/foreign-keys&gt;&lt;ref-type name="Journal Article"&gt;17&lt;/ref-type&gt;&lt;contributors&gt;&lt;authors&gt;&lt;author&gt;Zhou, Pengjun&lt;/author&gt;&lt;author&gt;Chen, Chunlan&lt;/author&gt;&lt;author&gt;Patil, Sandip&lt;/author&gt;&lt;author&gt;Dong, Shaowei&lt;/author&gt;&lt;/authors&gt;&lt;/contributors&gt;&lt;titles&gt;&lt;title&gt;Unveiling the therapeutic symphony of probiotics, prebiotics, and postbiotics in gut-immune harmony&lt;/title&gt;&lt;secondary-title&gt;Frontiers in nutrition&lt;/secondary-title&gt;&lt;/titles&gt;&lt;periodical&gt;&lt;full-title&gt;Frontiers in Nutrition&lt;/full-title&gt;&lt;/periodical&gt;&lt;pages&gt;1355542&lt;/pages&gt;&lt;volume&gt;11&lt;/volume&gt;&lt;dates&gt;&lt;year&gt;2024&lt;/year&gt;&lt;/dates&gt;&lt;isbn&gt;2296-861X&lt;/isbn&gt;&lt;urls&gt;&lt;/urls&gt;&lt;/record&gt;&lt;/Cite&gt;&lt;/EndNote&gt;</w:instrText>
      </w:r>
      <w:r w:rsidR="009D60ED" w:rsidRPr="00856ECB">
        <w:rPr>
          <w:rFonts w:asciiTheme="majorBidi" w:hAnsiTheme="majorBidi" w:cstheme="majorBidi"/>
          <w:color w:val="000000" w:themeColor="text1"/>
        </w:rPr>
        <w:fldChar w:fldCharType="separate"/>
      </w:r>
      <w:r w:rsidR="008D6C80" w:rsidRPr="00856ECB">
        <w:rPr>
          <w:rFonts w:asciiTheme="majorBidi" w:hAnsiTheme="majorBidi" w:cstheme="majorBidi"/>
          <w:noProof/>
          <w:color w:val="000000" w:themeColor="text1"/>
        </w:rPr>
        <w:t>(7)</w:t>
      </w:r>
      <w:r w:rsidR="009D60ED" w:rsidRPr="00856ECB">
        <w:rPr>
          <w:rFonts w:asciiTheme="majorBidi" w:hAnsiTheme="majorBidi" w:cstheme="majorBidi"/>
          <w:color w:val="000000" w:themeColor="text1"/>
        </w:rPr>
        <w:fldChar w:fldCharType="end"/>
      </w:r>
      <w:r w:rsidR="00455D29" w:rsidRPr="00856ECB">
        <w:rPr>
          <w:rFonts w:asciiTheme="majorBidi" w:hAnsiTheme="majorBidi" w:cstheme="majorBidi"/>
          <w:color w:val="000000" w:themeColor="text1"/>
        </w:rPr>
        <w:t xml:space="preserve">. </w:t>
      </w:r>
    </w:p>
    <w:p w14:paraId="1EAC8264" w14:textId="77777777" w:rsidR="00FE2373" w:rsidRPr="00856ECB" w:rsidRDefault="00FE2373" w:rsidP="009A0C39">
      <w:pPr>
        <w:spacing w:line="276" w:lineRule="auto"/>
        <w:jc w:val="both"/>
        <w:rPr>
          <w:rFonts w:asciiTheme="majorBidi" w:hAnsiTheme="majorBidi" w:cstheme="majorBidi"/>
          <w:color w:val="000000" w:themeColor="text1"/>
          <w:lang w:bidi="fa-IR"/>
        </w:rPr>
      </w:pPr>
    </w:p>
    <w:p w14:paraId="193671C4" w14:textId="3DE26423" w:rsidR="009A0C39" w:rsidRDefault="003A10DA" w:rsidP="00CE21C6">
      <w:pPr>
        <w:spacing w:line="276" w:lineRule="auto"/>
        <w:jc w:val="both"/>
        <w:rPr>
          <w:rFonts w:asciiTheme="majorBidi" w:hAnsiTheme="majorBidi" w:cstheme="majorBidi"/>
          <w:color w:val="000000" w:themeColor="text1"/>
        </w:rPr>
      </w:pPr>
      <w:r w:rsidRPr="00856ECB">
        <w:rPr>
          <w:rFonts w:asciiTheme="majorBidi" w:hAnsiTheme="majorBidi" w:cstheme="majorBidi"/>
        </w:rPr>
        <w:t xml:space="preserve">Recent advances in biotechnology have enhanced the precision with which probiotics and </w:t>
      </w:r>
      <w:proofErr w:type="spellStart"/>
      <w:r w:rsidRPr="00856ECB">
        <w:rPr>
          <w:rFonts w:asciiTheme="majorBidi" w:hAnsiTheme="majorBidi" w:cstheme="majorBidi"/>
        </w:rPr>
        <w:t>postbiotics</w:t>
      </w:r>
      <w:proofErr w:type="spellEnd"/>
      <w:r w:rsidRPr="00856ECB">
        <w:rPr>
          <w:rFonts w:asciiTheme="majorBidi" w:hAnsiTheme="majorBidi" w:cstheme="majorBidi"/>
        </w:rPr>
        <w:t xml:space="preserve"> can be engineered to influence the GBA. Technologies such as </w:t>
      </w:r>
      <w:proofErr w:type="spellStart"/>
      <w:r w:rsidRPr="00856ECB">
        <w:rPr>
          <w:rFonts w:asciiTheme="majorBidi" w:hAnsiTheme="majorBidi" w:cstheme="majorBidi"/>
        </w:rPr>
        <w:t>metagenomics</w:t>
      </w:r>
      <w:proofErr w:type="spellEnd"/>
      <w:r w:rsidRPr="00856ECB">
        <w:rPr>
          <w:rFonts w:asciiTheme="majorBidi" w:hAnsiTheme="majorBidi" w:cstheme="majorBidi"/>
        </w:rPr>
        <w:t xml:space="preserve">, machine learning, and genetic engineering enable optimization of </w:t>
      </w:r>
      <w:proofErr w:type="spellStart"/>
      <w:r w:rsidRPr="00856ECB">
        <w:rPr>
          <w:rFonts w:asciiTheme="majorBidi" w:hAnsiTheme="majorBidi" w:cstheme="majorBidi"/>
        </w:rPr>
        <w:t>microbiome</w:t>
      </w:r>
      <w:proofErr w:type="spellEnd"/>
      <w:r w:rsidRPr="00856ECB">
        <w:rPr>
          <w:rFonts w:asciiTheme="majorBidi" w:hAnsiTheme="majorBidi" w:cstheme="majorBidi"/>
        </w:rPr>
        <w:t xml:space="preserve"> composition, thereby enhancing therapeutic outcomes related to cognitive function and neurological disorders. </w:t>
      </w:r>
      <w:proofErr w:type="spellStart"/>
      <w:r w:rsidRPr="00856ECB">
        <w:rPr>
          <w:rFonts w:asciiTheme="majorBidi" w:hAnsiTheme="majorBidi" w:cstheme="majorBidi"/>
        </w:rPr>
        <w:t>Metagenomic</w:t>
      </w:r>
      <w:proofErr w:type="spellEnd"/>
      <w:r w:rsidRPr="00856ECB">
        <w:rPr>
          <w:rFonts w:asciiTheme="majorBidi" w:hAnsiTheme="majorBidi" w:cstheme="majorBidi"/>
        </w:rPr>
        <w:t xml:space="preserve"> analysis facilitates the identification of microbial strains with potential for maintaining gut </w:t>
      </w:r>
      <w:r w:rsidR="00441A2E" w:rsidRPr="00856ECB">
        <w:rPr>
          <w:rFonts w:asciiTheme="majorBidi" w:hAnsiTheme="majorBidi" w:cstheme="majorBidi"/>
        </w:rPr>
        <w:t>balance</w:t>
      </w:r>
      <w:r w:rsidR="00117A46" w:rsidRPr="00856ECB">
        <w:rPr>
          <w:rFonts w:asciiTheme="majorBidi" w:hAnsiTheme="majorBidi" w:cstheme="majorBidi"/>
          <w:color w:val="000000" w:themeColor="text1"/>
        </w:rPr>
        <w:t xml:space="preserve"> </w:t>
      </w:r>
      <w:r w:rsidR="00117A46" w:rsidRPr="00856ECB">
        <w:rPr>
          <w:rFonts w:asciiTheme="majorBidi" w:hAnsiTheme="majorBidi" w:cstheme="majorBidi"/>
          <w:color w:val="000000" w:themeColor="text1"/>
        </w:rPr>
        <w:fldChar w:fldCharType="begin"/>
      </w:r>
      <w:r w:rsidR="008D6C80" w:rsidRPr="00856ECB">
        <w:rPr>
          <w:rFonts w:asciiTheme="majorBidi" w:hAnsiTheme="majorBidi" w:cstheme="majorBidi"/>
          <w:color w:val="000000" w:themeColor="text1"/>
        </w:rPr>
        <w:instrText xml:space="preserve"> ADDIN EN.CITE &lt;EndNote&gt;&lt;Cite&gt;&lt;Author&gt;Yang&lt;/Author&gt;&lt;Year&gt;2022&lt;/Year&gt;&lt;RecNum&gt;307&lt;/RecNum&gt;&lt;DisplayText&gt;(8)&lt;/DisplayText&gt;&lt;record&gt;&lt;rec-number&gt;307&lt;/rec-number&gt;&lt;foreign-keys&gt;&lt;key app="EN" db-id="exwvr9fd40te9ner0f4ptrrorttf9svzawdd" timestamp="1751872296"&gt;307&lt;/key&gt;&lt;/foreign-keys&gt;&lt;ref-type name="Journal Article"&gt;17&lt;/ref-type&gt;&lt;contributors&gt;&lt;authors&gt;&lt;author&gt;Yang, Jiajun&lt;/author&gt;&lt;author&gt;Qin, Shunyi&lt;/author&gt;&lt;author&gt;Zhang, Hao&lt;/author&gt;&lt;/authors&gt;&lt;/contributors&gt;&lt;titles&gt;&lt;title&gt;Precise strategies for selecting probiotic bacteria in treatment of intestinal bacterial dysfunctional diseases&lt;/title&gt;&lt;secondary-title&gt;Frontiers in Immunology&lt;/secondary-title&gt;&lt;/titles&gt;&lt;periodical&gt;&lt;full-title&gt;Frontiers in immunology&lt;/full-title&gt;&lt;/periodical&gt;&lt;pages&gt;1034727&lt;/pages&gt;&lt;volume&gt;13&lt;/volume&gt;&lt;dates&gt;&lt;year&gt;2022&lt;/year&gt;&lt;/dates&gt;&lt;isbn&gt;1664-3224&lt;/isbn&gt;&lt;urls&gt;&lt;/urls&gt;&lt;/record&gt;&lt;/Cite&gt;&lt;/EndNote&gt;</w:instrText>
      </w:r>
      <w:r w:rsidR="00117A46" w:rsidRPr="00856ECB">
        <w:rPr>
          <w:rFonts w:asciiTheme="majorBidi" w:hAnsiTheme="majorBidi" w:cstheme="majorBidi"/>
          <w:color w:val="000000" w:themeColor="text1"/>
        </w:rPr>
        <w:fldChar w:fldCharType="separate"/>
      </w:r>
      <w:r w:rsidR="008D6C80" w:rsidRPr="00856ECB">
        <w:rPr>
          <w:rFonts w:asciiTheme="majorBidi" w:hAnsiTheme="majorBidi" w:cstheme="majorBidi"/>
          <w:noProof/>
          <w:color w:val="000000" w:themeColor="text1"/>
        </w:rPr>
        <w:t>(8)</w:t>
      </w:r>
      <w:r w:rsidR="00117A46" w:rsidRPr="00856ECB">
        <w:rPr>
          <w:rFonts w:asciiTheme="majorBidi" w:hAnsiTheme="majorBidi" w:cstheme="majorBidi"/>
          <w:color w:val="000000" w:themeColor="text1"/>
        </w:rPr>
        <w:fldChar w:fldCharType="end"/>
      </w:r>
      <w:r w:rsidR="00524C0E" w:rsidRPr="00856ECB">
        <w:rPr>
          <w:rFonts w:asciiTheme="majorBidi" w:hAnsiTheme="majorBidi" w:cstheme="majorBidi"/>
          <w:color w:val="000000" w:themeColor="text1"/>
        </w:rPr>
        <w:t xml:space="preserve">. </w:t>
      </w:r>
      <w:r w:rsidRPr="00856ECB">
        <w:rPr>
          <w:rFonts w:asciiTheme="majorBidi" w:hAnsiTheme="majorBidi" w:cstheme="majorBidi"/>
          <w:color w:val="000000" w:themeColor="text1"/>
        </w:rPr>
        <w:t>Additionally,</w:t>
      </w:r>
      <w:r w:rsidR="00F14355" w:rsidRPr="00856ECB">
        <w:rPr>
          <w:rFonts w:asciiTheme="majorBidi" w:hAnsiTheme="majorBidi" w:cstheme="majorBidi"/>
          <w:color w:val="000000" w:themeColor="text1"/>
        </w:rPr>
        <w:t xml:space="preserve"> </w:t>
      </w:r>
      <w:r w:rsidRPr="00856ECB">
        <w:rPr>
          <w:rFonts w:asciiTheme="majorBidi" w:hAnsiTheme="majorBidi" w:cstheme="majorBidi"/>
          <w:color w:val="000000" w:themeColor="text1"/>
        </w:rPr>
        <w:t xml:space="preserve">machine learning models, such as the Multivariate Adaptive Regression Splines (MARS) algorithm, can predict the metabolic profiles of probiotic formulations, aiding the design of microbial consortia that produce targeted therapeutic metabolites </w:t>
      </w:r>
      <w:r w:rsidR="00117A46" w:rsidRPr="00856ECB">
        <w:rPr>
          <w:rFonts w:asciiTheme="majorBidi" w:hAnsiTheme="majorBidi" w:cstheme="majorBidi"/>
          <w:color w:val="000000" w:themeColor="text1"/>
        </w:rPr>
        <w:fldChar w:fldCharType="begin"/>
      </w:r>
      <w:r w:rsidR="008D6C80" w:rsidRPr="00856ECB">
        <w:rPr>
          <w:rFonts w:asciiTheme="majorBidi" w:hAnsiTheme="majorBidi" w:cstheme="majorBidi"/>
          <w:color w:val="000000" w:themeColor="text1"/>
        </w:rPr>
        <w:instrText xml:space="preserve"> ADDIN EN.CITE &lt;EndNote&gt;&lt;Cite&gt;&lt;Author&gt;Westfall&lt;/Author&gt;&lt;Year&gt;2021&lt;/Year&gt;&lt;RecNum&gt;308&lt;/RecNum&gt;&lt;DisplayText&gt;(9)&lt;/DisplayText&gt;&lt;record&gt;&lt;rec-number&gt;308&lt;/rec-number&gt;&lt;foreign-keys&gt;&lt;key app="EN" db-id="exwvr9fd40te9ner0f4ptrrorttf9svzawdd" timestamp="1751872329"&gt;308&lt;/key&gt;&lt;/foreign-keys&gt;&lt;ref-type name="Journal Article"&gt;17&lt;/ref-type&gt;&lt;contributors&gt;&lt;authors&gt;&lt;author&gt;Westfall, Susan&lt;/author&gt;&lt;author&gt;Carracci, Francesca&lt;/author&gt;&lt;author&gt;Estill, Molly&lt;/author&gt;&lt;author&gt;Zhao, Danyue&lt;/author&gt;&lt;author&gt;Wu, Qing-li&lt;/author&gt;&lt;author&gt;Shen, Li&lt;/author&gt;&lt;author&gt;Simon, James&lt;/author&gt;&lt;author&gt;Pasinetti, Giulio Maria&lt;/author&gt;&lt;/authors&gt;&lt;/contributors&gt;&lt;titles&gt;&lt;title&gt;Optimization of probiotic therapeutics using machine learning in an artificial human gastrointestinal tract&lt;/title&gt;&lt;secondary-title&gt;Scientific reports&lt;/secondary-title&gt;&lt;/titles&gt;&lt;periodical&gt;&lt;full-title&gt;Scientific Reports&lt;/full-title&gt;&lt;/periodical&gt;&lt;pages&gt;1067&lt;/pages&gt;&lt;volume&gt;11&lt;/volume&gt;&lt;number&gt;1&lt;/number&gt;&lt;dates&gt;&lt;year&gt;2021&lt;/year&gt;&lt;/dates&gt;&lt;isbn&gt;2045-2322&lt;/isbn&gt;&lt;urls&gt;&lt;/urls&gt;&lt;/record&gt;&lt;/Cite&gt;&lt;/EndNote&gt;</w:instrText>
      </w:r>
      <w:r w:rsidR="00117A46" w:rsidRPr="00856ECB">
        <w:rPr>
          <w:rFonts w:asciiTheme="majorBidi" w:hAnsiTheme="majorBidi" w:cstheme="majorBidi"/>
          <w:color w:val="000000" w:themeColor="text1"/>
        </w:rPr>
        <w:fldChar w:fldCharType="separate"/>
      </w:r>
      <w:r w:rsidR="008D6C80" w:rsidRPr="00856ECB">
        <w:rPr>
          <w:rFonts w:asciiTheme="majorBidi" w:hAnsiTheme="majorBidi" w:cstheme="majorBidi"/>
          <w:noProof/>
          <w:color w:val="000000" w:themeColor="text1"/>
        </w:rPr>
        <w:t>(9)</w:t>
      </w:r>
      <w:r w:rsidR="00117A46" w:rsidRPr="00856ECB">
        <w:rPr>
          <w:rFonts w:asciiTheme="majorBidi" w:hAnsiTheme="majorBidi" w:cstheme="majorBidi"/>
          <w:color w:val="000000" w:themeColor="text1"/>
        </w:rPr>
        <w:fldChar w:fldCharType="end"/>
      </w:r>
      <w:r w:rsidR="00524C0E" w:rsidRPr="00856ECB">
        <w:rPr>
          <w:rFonts w:asciiTheme="majorBidi" w:hAnsiTheme="majorBidi" w:cstheme="majorBidi"/>
          <w:color w:val="000000" w:themeColor="text1"/>
        </w:rPr>
        <w:t xml:space="preserve">. </w:t>
      </w:r>
      <w:r w:rsidRPr="00856ECB">
        <w:rPr>
          <w:rFonts w:asciiTheme="majorBidi" w:hAnsiTheme="majorBidi" w:cstheme="majorBidi"/>
          <w:color w:val="000000" w:themeColor="text1"/>
        </w:rPr>
        <w:t>Genetic engineering also plays a pivotal role; for example, probiotics engineered to express glucose dehydrogenase can interfere with specific metabolic pathways in disease states such as cancer, effectively depriving malignant cells of energy sources</w:t>
      </w:r>
      <w:r w:rsidR="00117A46" w:rsidRPr="00856ECB">
        <w:rPr>
          <w:rFonts w:asciiTheme="majorBidi" w:hAnsiTheme="majorBidi" w:cstheme="majorBidi"/>
          <w:color w:val="000000" w:themeColor="text1"/>
        </w:rPr>
        <w:t xml:space="preserve"> </w:t>
      </w:r>
      <w:r w:rsidR="00117A46" w:rsidRPr="00856ECB">
        <w:rPr>
          <w:rFonts w:asciiTheme="majorBidi" w:hAnsiTheme="majorBidi" w:cstheme="majorBidi"/>
          <w:color w:val="000000" w:themeColor="text1"/>
        </w:rPr>
        <w:fldChar w:fldCharType="begin"/>
      </w:r>
      <w:r w:rsidR="008D6C80" w:rsidRPr="00856ECB">
        <w:rPr>
          <w:rFonts w:asciiTheme="majorBidi" w:hAnsiTheme="majorBidi" w:cstheme="majorBidi"/>
          <w:color w:val="000000" w:themeColor="text1"/>
        </w:rPr>
        <w:instrText xml:space="preserve"> ADDIN EN.CITE &lt;EndNote&gt;&lt;Cite&gt;&lt;Author&gt;Ji&lt;/Author&gt;&lt;Year&gt;2023&lt;/Year&gt;&lt;RecNum&gt;309&lt;/RecNum&gt;&lt;DisplayText&gt;(10)&lt;/DisplayText&gt;&lt;record&gt;&lt;rec-number&gt;309&lt;/rec-number&gt;&lt;foreign-keys&gt;&lt;key app="EN" db-id="exwvr9fd40te9ner0f4ptrrorttf9svzawdd" timestamp="1751872361"&gt;309&lt;/key&gt;&lt;/foreign-keys&gt;&lt;ref-type name="Journal Article"&gt;17&lt;/ref-type&gt;&lt;contributors&gt;&lt;authors&gt;&lt;author&gt;Ji, Penghao&lt;/author&gt;&lt;author&gt;An, Bolin&lt;/author&gt;&lt;author&gt;Jie, Zhongming&lt;/author&gt;&lt;author&gt;Wang, Liping&lt;/author&gt;&lt;author&gt;Qiu, Shuwen&lt;/author&gt;&lt;author&gt;Ge, Changhao&lt;/author&gt;&lt;author&gt;Wu, Qihui&lt;/author&gt;&lt;author&gt;Shi, Jianlin&lt;/author&gt;&lt;author&gt;Huo, Minfeng&lt;/author&gt;&lt;/authors&gt;&lt;/contributors&gt;&lt;titles&gt;&lt;title&gt;Genetically engineered probiotics as catalytic glucose depriver for tumor starvation therapy&lt;/title&gt;&lt;secondary-title&gt;Materials today bio&lt;/secondary-title&gt;&lt;/titles&gt;&lt;periodical&gt;&lt;full-title&gt;Materials today bio&lt;/full-title&gt;&lt;/periodical&gt;&lt;pages&gt;100515&lt;/pages&gt;&lt;volume&gt;18&lt;/volume&gt;&lt;dates&gt;&lt;year&gt;2023&lt;/year&gt;&lt;/dates&gt;&lt;isbn&gt;2590-0064&lt;/isbn&gt;&lt;urls&gt;&lt;/urls&gt;&lt;/record&gt;&lt;/Cite&gt;&lt;/EndNote&gt;</w:instrText>
      </w:r>
      <w:r w:rsidR="00117A46" w:rsidRPr="00856ECB">
        <w:rPr>
          <w:rFonts w:asciiTheme="majorBidi" w:hAnsiTheme="majorBidi" w:cstheme="majorBidi"/>
          <w:color w:val="000000" w:themeColor="text1"/>
        </w:rPr>
        <w:fldChar w:fldCharType="separate"/>
      </w:r>
      <w:r w:rsidR="008D6C80" w:rsidRPr="00856ECB">
        <w:rPr>
          <w:rFonts w:asciiTheme="majorBidi" w:hAnsiTheme="majorBidi" w:cstheme="majorBidi"/>
          <w:noProof/>
          <w:color w:val="000000" w:themeColor="text1"/>
        </w:rPr>
        <w:t>(10)</w:t>
      </w:r>
      <w:r w:rsidR="00117A46" w:rsidRPr="00856ECB">
        <w:rPr>
          <w:rFonts w:asciiTheme="majorBidi" w:hAnsiTheme="majorBidi" w:cstheme="majorBidi"/>
          <w:color w:val="000000" w:themeColor="text1"/>
        </w:rPr>
        <w:fldChar w:fldCharType="end"/>
      </w:r>
      <w:r w:rsidR="00D25829" w:rsidRPr="00856ECB">
        <w:rPr>
          <w:rFonts w:asciiTheme="majorBidi" w:hAnsiTheme="majorBidi" w:cstheme="majorBidi"/>
          <w:color w:val="000000" w:themeColor="text1"/>
        </w:rPr>
        <w:t xml:space="preserve">. </w:t>
      </w:r>
      <w:r w:rsidRPr="00856ECB">
        <w:rPr>
          <w:rFonts w:asciiTheme="majorBidi" w:hAnsiTheme="majorBidi" w:cstheme="majorBidi"/>
          <w:color w:val="000000" w:themeColor="text1"/>
        </w:rPr>
        <w:t xml:space="preserve">Furthermore, the application of CRISPR-Cas9 technology allows for precise editing of the gut </w:t>
      </w:r>
      <w:proofErr w:type="spellStart"/>
      <w:r w:rsidRPr="00856ECB">
        <w:rPr>
          <w:rFonts w:asciiTheme="majorBidi" w:hAnsiTheme="majorBidi" w:cstheme="majorBidi"/>
          <w:color w:val="000000" w:themeColor="text1"/>
        </w:rPr>
        <w:t>microbiome</w:t>
      </w:r>
      <w:proofErr w:type="spellEnd"/>
      <w:r w:rsidRPr="00856ECB">
        <w:rPr>
          <w:rFonts w:asciiTheme="majorBidi" w:hAnsiTheme="majorBidi" w:cstheme="majorBidi"/>
          <w:color w:val="000000" w:themeColor="text1"/>
        </w:rPr>
        <w:t>, facilitating the development of engineered probiotics capable of targeting and eliminating antibiotic-resistant bacteria, thereby restoring microbial balance</w:t>
      </w:r>
      <w:r w:rsidR="00524C0E" w:rsidRPr="00856ECB">
        <w:rPr>
          <w:rFonts w:asciiTheme="majorBidi" w:hAnsiTheme="majorBidi" w:cstheme="majorBidi"/>
          <w:color w:val="000000" w:themeColor="text1"/>
        </w:rPr>
        <w:t xml:space="preserve"> </w:t>
      </w:r>
      <w:r w:rsidR="00BE204C" w:rsidRPr="00856ECB">
        <w:rPr>
          <w:rFonts w:asciiTheme="majorBidi" w:hAnsiTheme="majorBidi" w:cstheme="majorBidi"/>
          <w:color w:val="000000" w:themeColor="text1"/>
        </w:rPr>
        <w:t xml:space="preserve"> </w:t>
      </w:r>
      <w:r w:rsidR="00117A46" w:rsidRPr="00856ECB">
        <w:rPr>
          <w:rFonts w:asciiTheme="majorBidi" w:hAnsiTheme="majorBidi" w:cstheme="majorBidi"/>
          <w:color w:val="000000" w:themeColor="text1"/>
        </w:rPr>
        <w:fldChar w:fldCharType="begin"/>
      </w:r>
      <w:r w:rsidR="008D6C80" w:rsidRPr="00856ECB">
        <w:rPr>
          <w:rFonts w:asciiTheme="majorBidi" w:hAnsiTheme="majorBidi" w:cstheme="majorBidi"/>
          <w:color w:val="000000" w:themeColor="text1"/>
        </w:rPr>
        <w:instrText xml:space="preserve"> ADDIN EN.CITE &lt;EndNote&gt;&lt;Cite&gt;&lt;Author&gt;Neil&lt;/Author&gt;&lt;Year&gt;2021&lt;/Year&gt;&lt;RecNum&gt;310&lt;/RecNum&gt;&lt;DisplayText&gt;(11)&lt;/DisplayText&gt;&lt;record&gt;&lt;rec-number&gt;310&lt;/rec-number&gt;&lt;foreign-keys&gt;&lt;key app="EN" db-id="exwvr9fd40te9ner0f4ptrrorttf9svzawdd" timestamp="1751872399"&gt;310&lt;/key&gt;&lt;/foreign-keys&gt;&lt;ref-type name="Journal Article"&gt;17&lt;/ref-type&gt;&lt;contributors&gt;&lt;authors&gt;&lt;author&gt;Neil, Kevin&lt;/author&gt;&lt;author&gt;Allard, Nancy&lt;/author&gt;&lt;author&gt;Roy, Patricia&lt;/author&gt;&lt;author&gt;Grenier, Frédéric&lt;/author&gt;&lt;author&gt;Menendez, Alfredo&lt;/author&gt;&lt;author&gt;Burrus, Vincent&lt;/author&gt;&lt;author&gt;Rodrigue, Sébastien&lt;/author&gt;&lt;/authors&gt;&lt;/contributors&gt;&lt;titles&gt;&lt;title&gt;High‐efficiency delivery of CRISPR‐Cas9 by engineered probiotics enables precise microbiome editing&lt;/title&gt;&lt;secondary-title&gt;Molecular Systems Biology&lt;/secondary-title&gt;&lt;/titles&gt;&lt;periodical&gt;&lt;full-title&gt;Molecular Systems Biology&lt;/full-title&gt;&lt;/periodical&gt;&lt;pages&gt;e10335&lt;/pages&gt;&lt;volume&gt;17&lt;/volume&gt;&lt;number&gt;10&lt;/number&gt;&lt;dates&gt;&lt;year&gt;2021&lt;/year&gt;&lt;/dates&gt;&lt;isbn&gt;1744-4292&lt;/isbn&gt;&lt;urls&gt;&lt;/urls&gt;&lt;/record&gt;&lt;/Cite&gt;&lt;/EndNote&gt;</w:instrText>
      </w:r>
      <w:r w:rsidR="00117A46" w:rsidRPr="00856ECB">
        <w:rPr>
          <w:rFonts w:asciiTheme="majorBidi" w:hAnsiTheme="majorBidi" w:cstheme="majorBidi"/>
          <w:color w:val="000000" w:themeColor="text1"/>
        </w:rPr>
        <w:fldChar w:fldCharType="separate"/>
      </w:r>
      <w:r w:rsidR="008D6C80" w:rsidRPr="00856ECB">
        <w:rPr>
          <w:rFonts w:asciiTheme="majorBidi" w:hAnsiTheme="majorBidi" w:cstheme="majorBidi"/>
          <w:noProof/>
          <w:color w:val="000000" w:themeColor="text1"/>
        </w:rPr>
        <w:t>(11)</w:t>
      </w:r>
      <w:r w:rsidR="00117A46" w:rsidRPr="00856ECB">
        <w:rPr>
          <w:rFonts w:asciiTheme="majorBidi" w:hAnsiTheme="majorBidi" w:cstheme="majorBidi"/>
          <w:color w:val="000000" w:themeColor="text1"/>
        </w:rPr>
        <w:fldChar w:fldCharType="end"/>
      </w:r>
      <w:r w:rsidR="00D25829" w:rsidRPr="00856ECB">
        <w:rPr>
          <w:rFonts w:asciiTheme="majorBidi" w:hAnsiTheme="majorBidi" w:cstheme="majorBidi"/>
          <w:color w:val="000000" w:themeColor="text1"/>
        </w:rPr>
        <w:t xml:space="preserve">. </w:t>
      </w:r>
    </w:p>
    <w:p w14:paraId="4EC5E30B" w14:textId="23F4B916" w:rsidR="00AD7F0A" w:rsidRPr="00AD7F0A" w:rsidRDefault="00AD7F0A" w:rsidP="0078134F">
      <w:pPr>
        <w:spacing w:line="276" w:lineRule="auto"/>
        <w:jc w:val="both"/>
        <w:rPr>
          <w:rFonts w:asciiTheme="majorBidi" w:hAnsiTheme="majorBidi" w:cstheme="majorBidi"/>
          <w:color w:val="000000" w:themeColor="text1"/>
        </w:rPr>
      </w:pPr>
    </w:p>
    <w:p w14:paraId="18264FC8" w14:textId="6E9BB640" w:rsidR="007909EC" w:rsidRDefault="00D72AF7" w:rsidP="00C14520">
      <w:pPr>
        <w:spacing w:line="276" w:lineRule="auto"/>
        <w:rPr>
          <w:rFonts w:asciiTheme="majorBidi" w:hAnsiTheme="majorBidi" w:cstheme="majorBidi"/>
          <w:color w:val="000000" w:themeColor="text1"/>
        </w:rPr>
      </w:pPr>
      <w:r>
        <w:rPr>
          <w:rFonts w:asciiTheme="majorBidi" w:hAnsiTheme="majorBidi" w:cstheme="majorBidi"/>
          <w:color w:val="000000" w:themeColor="text1"/>
        </w:rPr>
        <w:t xml:space="preserve">               </w:t>
      </w:r>
      <w:bookmarkStart w:id="0" w:name="_Hlk209634311"/>
      <w:proofErr w:type="gramStart"/>
      <w:r w:rsidR="00AD7F0A">
        <w:rPr>
          <w:rFonts w:asciiTheme="majorBidi" w:hAnsiTheme="majorBidi" w:cstheme="majorBidi"/>
          <w:color w:val="000000" w:themeColor="text1"/>
        </w:rPr>
        <w:t>Fig 1.</w:t>
      </w:r>
      <w:proofErr w:type="gramEnd"/>
      <w:r w:rsidR="00AD7F0A">
        <w:rPr>
          <w:rFonts w:asciiTheme="majorBidi" w:hAnsiTheme="majorBidi" w:cstheme="majorBidi"/>
          <w:color w:val="000000" w:themeColor="text1"/>
        </w:rPr>
        <w:t xml:space="preserve"> Gut-Brain-Axis communication (created by Biorender.com)</w:t>
      </w:r>
    </w:p>
    <w:bookmarkEnd w:id="0"/>
    <w:p w14:paraId="3A042251" w14:textId="4BA54EA6" w:rsidR="00FA4E97" w:rsidRDefault="00FA4E97" w:rsidP="00C14520">
      <w:pPr>
        <w:spacing w:line="276" w:lineRule="auto"/>
        <w:rPr>
          <w:rFonts w:asciiTheme="majorBidi" w:hAnsiTheme="majorBidi" w:cstheme="majorBidi"/>
          <w:color w:val="000000" w:themeColor="text1"/>
        </w:rPr>
      </w:pPr>
    </w:p>
    <w:p w14:paraId="1E59089D" w14:textId="2218DB37" w:rsidR="00FA4E97" w:rsidRPr="00856ECB" w:rsidRDefault="00FA4E97" w:rsidP="00CE21C6">
      <w:pPr>
        <w:spacing w:line="276" w:lineRule="auto"/>
        <w:jc w:val="both"/>
        <w:rPr>
          <w:rFonts w:asciiTheme="majorBidi" w:hAnsiTheme="majorBidi" w:cstheme="majorBidi"/>
          <w:color w:val="000000" w:themeColor="text1"/>
        </w:rPr>
      </w:pPr>
    </w:p>
    <w:p w14:paraId="1F2CECA3" w14:textId="08483320" w:rsidR="00DC7090" w:rsidRPr="000D0431" w:rsidRDefault="00DC7090" w:rsidP="008B5AB2">
      <w:pPr>
        <w:pStyle w:val="Heading1"/>
        <w:jc w:val="both"/>
        <w:rPr>
          <w:rFonts w:asciiTheme="majorBidi" w:hAnsiTheme="majorBidi"/>
          <w:color w:val="0070C0"/>
          <w:sz w:val="24"/>
          <w:szCs w:val="24"/>
        </w:rPr>
      </w:pPr>
      <w:r w:rsidRPr="000D0431">
        <w:rPr>
          <w:rFonts w:asciiTheme="majorBidi" w:hAnsiTheme="majorBidi"/>
          <w:color w:val="0070C0"/>
          <w:sz w:val="24"/>
          <w:szCs w:val="24"/>
        </w:rPr>
        <w:lastRenderedPageBreak/>
        <w:t>Gut-Brain Axis: Microbial Diversity and Composition</w:t>
      </w:r>
    </w:p>
    <w:p w14:paraId="00454AB9" w14:textId="1A174668" w:rsidR="00DC7090" w:rsidRPr="008B5AB2" w:rsidRDefault="00DC7090" w:rsidP="008B5AB2">
      <w:pPr>
        <w:spacing w:line="276" w:lineRule="auto"/>
        <w:jc w:val="both"/>
        <w:rPr>
          <w:rFonts w:asciiTheme="majorBidi" w:hAnsiTheme="majorBidi" w:cstheme="majorBidi"/>
          <w:color w:val="000000" w:themeColor="text1"/>
        </w:rPr>
      </w:pPr>
      <w:r w:rsidRPr="00856ECB">
        <w:rPr>
          <w:rFonts w:asciiTheme="majorBidi" w:hAnsiTheme="majorBidi" w:cstheme="majorBidi"/>
          <w:color w:val="000000" w:themeColor="text1"/>
        </w:rPr>
        <w:t xml:space="preserve">The </w:t>
      </w:r>
      <w:proofErr w:type="spellStart"/>
      <w:r w:rsidRPr="00856ECB">
        <w:rPr>
          <w:rFonts w:asciiTheme="majorBidi" w:hAnsiTheme="majorBidi" w:cstheme="majorBidi"/>
          <w:color w:val="000000" w:themeColor="text1"/>
        </w:rPr>
        <w:t>micro</w:t>
      </w:r>
      <w:r w:rsidR="00A26265" w:rsidRPr="00856ECB">
        <w:rPr>
          <w:rFonts w:asciiTheme="majorBidi" w:hAnsiTheme="majorBidi" w:cstheme="majorBidi"/>
          <w:color w:val="000000" w:themeColor="text1"/>
        </w:rPr>
        <w:t>biota</w:t>
      </w:r>
      <w:proofErr w:type="spellEnd"/>
      <w:r w:rsidRPr="00856ECB">
        <w:rPr>
          <w:rFonts w:asciiTheme="majorBidi" w:hAnsiTheme="majorBidi" w:cstheme="majorBidi"/>
          <w:color w:val="000000" w:themeColor="text1"/>
        </w:rPr>
        <w:t xml:space="preserve"> in the gut is the largest microbial environment in the human body, containing more than </w:t>
      </w:r>
      <w:r w:rsidR="00A26265" w:rsidRPr="00856ECB">
        <w:rPr>
          <w:rFonts w:asciiTheme="majorBidi" w:hAnsiTheme="majorBidi" w:cstheme="majorBidi"/>
          <w:color w:val="000000" w:themeColor="text1"/>
        </w:rPr>
        <w:t>10</w:t>
      </w:r>
      <w:r w:rsidR="00A26265" w:rsidRPr="00856ECB">
        <w:rPr>
          <w:rFonts w:asciiTheme="majorBidi" w:hAnsiTheme="majorBidi" w:cstheme="majorBidi"/>
          <w:color w:val="000000" w:themeColor="text1"/>
          <w:vertAlign w:val="superscript"/>
        </w:rPr>
        <w:t>1</w:t>
      </w:r>
      <w:r w:rsidR="006678E4" w:rsidRPr="00856ECB">
        <w:rPr>
          <w:rFonts w:asciiTheme="majorBidi" w:hAnsiTheme="majorBidi" w:cstheme="majorBidi"/>
          <w:color w:val="000000" w:themeColor="text1"/>
          <w:vertAlign w:val="superscript"/>
        </w:rPr>
        <w:t>3</w:t>
      </w:r>
      <w:r w:rsidR="00A26265" w:rsidRPr="00856ECB">
        <w:rPr>
          <w:rFonts w:asciiTheme="majorBidi" w:hAnsiTheme="majorBidi" w:cstheme="majorBidi"/>
          <w:color w:val="000000" w:themeColor="text1"/>
        </w:rPr>
        <w:t xml:space="preserve"> to </w:t>
      </w:r>
      <w:r w:rsidRPr="00856ECB">
        <w:rPr>
          <w:rFonts w:asciiTheme="majorBidi" w:hAnsiTheme="majorBidi" w:cstheme="majorBidi"/>
          <w:color w:val="000000" w:themeColor="text1"/>
        </w:rPr>
        <w:t>10</w:t>
      </w:r>
      <w:r w:rsidR="00A26265" w:rsidRPr="00856ECB">
        <w:rPr>
          <w:rFonts w:asciiTheme="majorBidi" w:hAnsiTheme="majorBidi" w:cstheme="majorBidi"/>
          <w:color w:val="000000" w:themeColor="text1"/>
          <w:vertAlign w:val="superscript"/>
        </w:rPr>
        <w:t>14</w:t>
      </w:r>
      <w:r w:rsidRPr="00856ECB">
        <w:rPr>
          <w:rFonts w:asciiTheme="majorBidi" w:hAnsiTheme="majorBidi" w:cstheme="majorBidi"/>
          <w:color w:val="000000" w:themeColor="text1"/>
        </w:rPr>
        <w:t xml:space="preserve"> bacteria</w:t>
      </w:r>
      <w:r w:rsidR="00A26265" w:rsidRPr="00856ECB">
        <w:rPr>
          <w:rFonts w:asciiTheme="majorBidi" w:hAnsiTheme="majorBidi" w:cstheme="majorBidi"/>
          <w:color w:val="000000" w:themeColor="text1"/>
        </w:rPr>
        <w:t>.</w:t>
      </w:r>
      <w:r w:rsidRPr="00856ECB">
        <w:rPr>
          <w:rFonts w:asciiTheme="majorBidi" w:hAnsiTheme="majorBidi" w:cstheme="majorBidi"/>
          <w:color w:val="000000" w:themeColor="text1"/>
        </w:rPr>
        <w:t xml:space="preserve"> </w:t>
      </w:r>
      <w:r w:rsidR="00292A33" w:rsidRPr="00856ECB">
        <w:rPr>
          <w:rFonts w:asciiTheme="majorBidi" w:hAnsiTheme="majorBidi" w:cstheme="majorBidi"/>
          <w:color w:val="000000" w:themeColor="text1"/>
        </w:rPr>
        <w:t xml:space="preserve">Collectively, these microorganisms possess a genetic repertoire—referred to as the </w:t>
      </w:r>
      <w:proofErr w:type="spellStart"/>
      <w:r w:rsidR="00292A33" w:rsidRPr="00856ECB">
        <w:rPr>
          <w:rFonts w:asciiTheme="majorBidi" w:hAnsiTheme="majorBidi" w:cstheme="majorBidi"/>
          <w:color w:val="000000" w:themeColor="text1"/>
        </w:rPr>
        <w:t>microbiome</w:t>
      </w:r>
      <w:proofErr w:type="spellEnd"/>
      <w:r w:rsidR="00292A33" w:rsidRPr="00856ECB">
        <w:rPr>
          <w:rFonts w:asciiTheme="majorBidi" w:hAnsiTheme="majorBidi" w:cstheme="majorBidi"/>
          <w:color w:val="000000" w:themeColor="text1"/>
        </w:rPr>
        <w:t>—that is estimated to be ten times larger than the human genome. Recent estimates suggest that the ratio between microbial and human cells in the body approaches 1:1</w:t>
      </w:r>
      <w:r w:rsidR="00F552BB" w:rsidRPr="00856ECB">
        <w:rPr>
          <w:rFonts w:asciiTheme="majorBidi" w:hAnsiTheme="majorBidi" w:cstheme="majorBidi"/>
          <w:color w:val="000000" w:themeColor="text1"/>
        </w:rPr>
        <w:t xml:space="preserve"> </w:t>
      </w:r>
      <w:r w:rsidR="00F552BB" w:rsidRPr="00856ECB">
        <w:rPr>
          <w:rFonts w:asciiTheme="majorBidi" w:hAnsiTheme="majorBidi" w:cstheme="majorBidi"/>
          <w:color w:val="000000" w:themeColor="text1"/>
        </w:rPr>
        <w:fldChar w:fldCharType="begin"/>
      </w:r>
      <w:r w:rsidR="008D6C80" w:rsidRPr="00856ECB">
        <w:rPr>
          <w:rFonts w:asciiTheme="majorBidi" w:hAnsiTheme="majorBidi" w:cstheme="majorBidi"/>
          <w:color w:val="000000" w:themeColor="text1"/>
        </w:rPr>
        <w:instrText xml:space="preserve"> ADDIN EN.CITE &lt;EndNote&gt;&lt;Cite&gt;&lt;Author&gt;Sender&lt;/Author&gt;&lt;Year&gt;2016&lt;/Year&gt;&lt;RecNum&gt;335&lt;/RecNum&gt;&lt;DisplayText&gt;(12)&lt;/DisplayText&gt;&lt;record&gt;&lt;rec-number&gt;335&lt;/rec-number&gt;&lt;foreign-keys&gt;&lt;key app="EN" db-id="exwvr9fd40te9ner0f4ptrrorttf9svzawdd" timestamp="1752037268"&gt;335&lt;/key&gt;&lt;/foreign-keys&gt;&lt;ref-type name="Journal Article"&gt;17&lt;/ref-type&gt;&lt;contributors&gt;&lt;authors&gt;&lt;author&gt;Sender, Ron&lt;/author&gt;&lt;author&gt;Fuchs, Shai&lt;/author&gt;&lt;author&gt;Milo, Ron&lt;/author&gt;&lt;/authors&gt;&lt;/contributors&gt;&lt;titles&gt;&lt;title&gt;Revised estimates for the number of human and bacteria cells in the body&lt;/title&gt;&lt;secondary-title&gt;PLoS biology&lt;/secondary-title&gt;&lt;/titles&gt;&lt;periodical&gt;&lt;full-title&gt;PLoS biology&lt;/full-title&gt;&lt;/periodical&gt;&lt;pages&gt;e1002533&lt;/pages&gt;&lt;volume&gt;14&lt;/volume&gt;&lt;number&gt;8&lt;/number&gt;&lt;dates&gt;&lt;year&gt;2016&lt;/year&gt;&lt;/dates&gt;&lt;isbn&gt;1544-9173&lt;/isbn&gt;&lt;urls&gt;&lt;/urls&gt;&lt;/record&gt;&lt;/Cite&gt;&lt;/EndNote&gt;</w:instrText>
      </w:r>
      <w:r w:rsidR="00F552BB" w:rsidRPr="00856ECB">
        <w:rPr>
          <w:rFonts w:asciiTheme="majorBidi" w:hAnsiTheme="majorBidi" w:cstheme="majorBidi"/>
          <w:color w:val="000000" w:themeColor="text1"/>
        </w:rPr>
        <w:fldChar w:fldCharType="separate"/>
      </w:r>
      <w:r w:rsidR="008D6C80" w:rsidRPr="00856ECB">
        <w:rPr>
          <w:rFonts w:asciiTheme="majorBidi" w:hAnsiTheme="majorBidi" w:cstheme="majorBidi"/>
          <w:noProof/>
          <w:color w:val="000000" w:themeColor="text1"/>
        </w:rPr>
        <w:t>(12)</w:t>
      </w:r>
      <w:r w:rsidR="00F552BB" w:rsidRPr="00856ECB">
        <w:rPr>
          <w:rFonts w:asciiTheme="majorBidi" w:hAnsiTheme="majorBidi" w:cstheme="majorBidi"/>
          <w:color w:val="000000" w:themeColor="text1"/>
        </w:rPr>
        <w:fldChar w:fldCharType="end"/>
      </w:r>
      <w:r w:rsidR="00836254" w:rsidRPr="00856ECB">
        <w:rPr>
          <w:rFonts w:asciiTheme="majorBidi" w:hAnsiTheme="majorBidi" w:cstheme="majorBidi"/>
          <w:color w:val="000000" w:themeColor="text1"/>
        </w:rPr>
        <w:t>.</w:t>
      </w:r>
      <w:r w:rsidR="00F552BB" w:rsidRPr="00856ECB">
        <w:rPr>
          <w:rFonts w:asciiTheme="majorBidi" w:hAnsiTheme="majorBidi" w:cstheme="majorBidi"/>
          <w:color w:val="000000" w:themeColor="text1"/>
        </w:rPr>
        <w:t xml:space="preserve"> </w:t>
      </w:r>
      <w:r w:rsidR="002A4B22" w:rsidRPr="00856ECB">
        <w:rPr>
          <w:rFonts w:asciiTheme="majorBidi" w:hAnsiTheme="majorBidi" w:cstheme="majorBidi"/>
          <w:color w:val="000000" w:themeColor="text1"/>
        </w:rPr>
        <w:t xml:space="preserve">This microbial community develops rapidly after birth and typically reaches structural and functional maturity between the ages of two and three. The adult gut is home to roughly 500 to 1,000 distinct bacterial species, with the dominant phyla being </w:t>
      </w:r>
      <w:proofErr w:type="spellStart"/>
      <w:r w:rsidR="002A4B22" w:rsidRPr="00856ECB">
        <w:rPr>
          <w:rFonts w:asciiTheme="majorBidi" w:hAnsiTheme="majorBidi" w:cstheme="majorBidi"/>
          <w:i/>
          <w:iCs/>
          <w:color w:val="000000" w:themeColor="text1"/>
        </w:rPr>
        <w:t>Firmicutes</w:t>
      </w:r>
      <w:proofErr w:type="spellEnd"/>
      <w:r w:rsidR="002A4B22" w:rsidRPr="00856ECB">
        <w:rPr>
          <w:rFonts w:asciiTheme="majorBidi" w:hAnsiTheme="majorBidi" w:cstheme="majorBidi"/>
          <w:i/>
          <w:iCs/>
          <w:color w:val="000000" w:themeColor="text1"/>
        </w:rPr>
        <w:t xml:space="preserve">, </w:t>
      </w:r>
      <w:proofErr w:type="spellStart"/>
      <w:r w:rsidR="002A4B22" w:rsidRPr="00856ECB">
        <w:rPr>
          <w:rFonts w:asciiTheme="majorBidi" w:hAnsiTheme="majorBidi" w:cstheme="majorBidi"/>
          <w:i/>
          <w:iCs/>
          <w:color w:val="000000" w:themeColor="text1"/>
        </w:rPr>
        <w:t>Bacteroidetes</w:t>
      </w:r>
      <w:proofErr w:type="spellEnd"/>
      <w:r w:rsidR="002A4B22" w:rsidRPr="00856ECB">
        <w:rPr>
          <w:rFonts w:asciiTheme="majorBidi" w:hAnsiTheme="majorBidi" w:cstheme="majorBidi"/>
          <w:i/>
          <w:iCs/>
          <w:color w:val="000000" w:themeColor="text1"/>
        </w:rPr>
        <w:t xml:space="preserve">, </w:t>
      </w:r>
      <w:proofErr w:type="spellStart"/>
      <w:r w:rsidR="002A4B22" w:rsidRPr="00856ECB">
        <w:rPr>
          <w:rFonts w:asciiTheme="majorBidi" w:hAnsiTheme="majorBidi" w:cstheme="majorBidi"/>
          <w:i/>
          <w:iCs/>
          <w:color w:val="000000" w:themeColor="text1"/>
        </w:rPr>
        <w:t>Actinobacteria</w:t>
      </w:r>
      <w:proofErr w:type="spellEnd"/>
      <w:r w:rsidR="002A4B22" w:rsidRPr="00856ECB">
        <w:rPr>
          <w:rFonts w:asciiTheme="majorBidi" w:hAnsiTheme="majorBidi" w:cstheme="majorBidi"/>
          <w:i/>
          <w:iCs/>
          <w:color w:val="000000" w:themeColor="text1"/>
        </w:rPr>
        <w:t xml:space="preserve">, </w:t>
      </w:r>
      <w:r w:rsidR="002A4B22" w:rsidRPr="00856ECB">
        <w:rPr>
          <w:rFonts w:asciiTheme="majorBidi" w:hAnsiTheme="majorBidi" w:cstheme="majorBidi"/>
          <w:color w:val="000000" w:themeColor="text1"/>
        </w:rPr>
        <w:t>and</w:t>
      </w:r>
      <w:r w:rsidR="002A4B22" w:rsidRPr="00856ECB">
        <w:rPr>
          <w:rFonts w:asciiTheme="majorBidi" w:hAnsiTheme="majorBidi" w:cstheme="majorBidi"/>
          <w:i/>
          <w:iCs/>
          <w:color w:val="000000" w:themeColor="text1"/>
        </w:rPr>
        <w:t xml:space="preserve"> </w:t>
      </w:r>
      <w:proofErr w:type="spellStart"/>
      <w:r w:rsidR="002A4B22" w:rsidRPr="00856ECB">
        <w:rPr>
          <w:rFonts w:asciiTheme="majorBidi" w:hAnsiTheme="majorBidi" w:cstheme="majorBidi"/>
          <w:i/>
          <w:iCs/>
          <w:color w:val="000000" w:themeColor="text1"/>
        </w:rPr>
        <w:t>Proteobacteria</w:t>
      </w:r>
      <w:proofErr w:type="spellEnd"/>
      <w:r w:rsidR="002A4B22" w:rsidRPr="00856ECB">
        <w:rPr>
          <w:rFonts w:asciiTheme="majorBidi" w:hAnsiTheme="majorBidi" w:cstheme="majorBidi"/>
          <w:i/>
          <w:iCs/>
          <w:color w:val="000000" w:themeColor="text1"/>
        </w:rPr>
        <w:t>.</w:t>
      </w:r>
      <w:r w:rsidR="002A4B22" w:rsidRPr="00856ECB">
        <w:rPr>
          <w:rFonts w:asciiTheme="majorBidi" w:hAnsiTheme="majorBidi" w:cstheme="majorBidi"/>
          <w:color w:val="000000" w:themeColor="text1"/>
        </w:rPr>
        <w:t xml:space="preserve"> These microbes exist in a mutualistic or commensal relationship with the host and play essential roles in maintaining physiological equilibrium. A decline in microbial diversity or a shift in composition—known as </w:t>
      </w:r>
      <w:proofErr w:type="spellStart"/>
      <w:r w:rsidR="002A4B22" w:rsidRPr="00856ECB">
        <w:rPr>
          <w:rFonts w:asciiTheme="majorBidi" w:hAnsiTheme="majorBidi" w:cstheme="majorBidi"/>
          <w:color w:val="000000" w:themeColor="text1"/>
        </w:rPr>
        <w:t>dysbiosis</w:t>
      </w:r>
      <w:proofErr w:type="spellEnd"/>
      <w:r w:rsidR="002A4B22" w:rsidRPr="00856ECB">
        <w:rPr>
          <w:rFonts w:asciiTheme="majorBidi" w:hAnsiTheme="majorBidi" w:cstheme="majorBidi"/>
          <w:color w:val="000000" w:themeColor="text1"/>
        </w:rPr>
        <w:t>—can disrupt host-microbe interactions, alter metabolic outputs, and contribute to various disease states</w:t>
      </w:r>
      <w:r w:rsidRPr="00856ECB">
        <w:rPr>
          <w:rFonts w:asciiTheme="majorBidi" w:hAnsiTheme="majorBidi" w:cstheme="majorBidi"/>
          <w:color w:val="000000" w:themeColor="text1"/>
        </w:rPr>
        <w:t xml:space="preserve"> </w:t>
      </w:r>
      <w:r w:rsidRPr="00856ECB">
        <w:rPr>
          <w:rFonts w:asciiTheme="majorBidi" w:hAnsiTheme="majorBidi" w:cstheme="majorBidi"/>
          <w:color w:val="000000" w:themeColor="text1"/>
        </w:rPr>
        <w:fldChar w:fldCharType="begin"/>
      </w:r>
      <w:r w:rsidR="008D6C80" w:rsidRPr="00856ECB">
        <w:rPr>
          <w:rFonts w:asciiTheme="majorBidi" w:hAnsiTheme="majorBidi" w:cstheme="majorBidi"/>
          <w:color w:val="000000" w:themeColor="text1"/>
        </w:rPr>
        <w:instrText xml:space="preserve"> ADDIN EN.CITE &lt;EndNote&gt;&lt;Cite&gt;&lt;Author&gt;Kim&lt;/Author&gt;&lt;Year&gt;2017&lt;/Year&gt;&lt;RecNum&gt;280&lt;/RecNum&gt;&lt;DisplayText&gt;(13, 14)&lt;/DisplayText&gt;&lt;record&gt;&lt;rec-number&gt;280&lt;/rec-number&gt;&lt;foreign-keys&gt;&lt;key app="EN" db-id="exwvr9fd40te9ner0f4ptrrorttf9svzawdd" timestamp="1751866678"&gt;280&lt;/key&gt;&lt;/foreign-keys&gt;&lt;ref-type name="Journal Article"&gt;17&lt;/ref-type&gt;&lt;contributors&gt;&lt;authors&gt;&lt;author&gt;Kim, Sangdoo&lt;/author&gt;&lt;author&gt;Kim, Hyunju&lt;/author&gt;&lt;author&gt;Yim, Yeong Shin&lt;/author&gt;&lt;author&gt;Ha, Soyoung&lt;/author&gt;&lt;author&gt;Atarashi, Koji&lt;/author&gt;&lt;author&gt;Tan, Tze Guan&lt;/author&gt;&lt;author&gt;Longman, Randy S&lt;/author&gt;&lt;author&gt;Honda, Kenya&lt;/author&gt;&lt;author&gt;Littman, Dan R&lt;/author&gt;&lt;author&gt;Choi, Gloria B&lt;/author&gt;&lt;/authors&gt;&lt;/contributors&gt;&lt;titles&gt;&lt;title&gt;Maternal gut bacteria promote neurodevelopmental abnormalities in mouse offspring&lt;/title&gt;&lt;secondary-title&gt;Nature&lt;/secondary-title&gt;&lt;/titles&gt;&lt;periodical&gt;&lt;full-title&gt;Nature&lt;/full-title&gt;&lt;/periodical&gt;&lt;pages&gt;528-532&lt;/pages&gt;&lt;volume&gt;549&lt;/volume&gt;&lt;number&gt;7673&lt;/number&gt;&lt;dates&gt;&lt;year&gt;2017&lt;/year&gt;&lt;/dates&gt;&lt;isbn&gt;0028-0836&lt;/isbn&gt;&lt;urls&gt;&lt;/urls&gt;&lt;/record&gt;&lt;/Cite&gt;&lt;Cite&gt;&lt;Author&gt;Rutsch&lt;/Author&gt;&lt;Year&gt;2020&lt;/Year&gt;&lt;RecNum&gt;281&lt;/RecNum&gt;&lt;record&gt;&lt;rec-number&gt;281&lt;/rec-number&gt;&lt;foreign-keys&gt;&lt;key app="EN" db-id="exwvr9fd40te9ner0f4ptrrorttf9svzawdd" timestamp="1751866711"&gt;281&lt;/key&gt;&lt;/foreign-keys&gt;&lt;ref-type name="Journal Article"&gt;17&lt;/ref-type&gt;&lt;contributors&gt;&lt;authors&gt;&lt;author&gt;Rutsch, Andrina&lt;/author&gt;&lt;author&gt;Kantsjö, Johan B&lt;/author&gt;&lt;author&gt;Ronchi, Francesca&lt;/author&gt;&lt;/authors&gt;&lt;/contributors&gt;&lt;titles&gt;&lt;title&gt;The gut-brain axis: how microbiota and host inflammasome influence brain physiology and pathology&lt;/title&gt;&lt;secondary-title&gt;Frontiers in immunology&lt;/secondary-title&gt;&lt;/titles&gt;&lt;periodical&gt;&lt;full-title&gt;Frontiers in immunology&lt;/full-title&gt;&lt;/periodical&gt;&lt;pages&gt;604179&lt;/pages&gt;&lt;volume&gt;11&lt;/volume&gt;&lt;dates&gt;&lt;year&gt;2020&lt;/year&gt;&lt;/dates&gt;&lt;isbn&gt;1664-3224&lt;/isbn&gt;&lt;urls&gt;&lt;/urls&gt;&lt;/record&gt;&lt;/Cite&gt;&lt;/EndNote&gt;</w:instrText>
      </w:r>
      <w:r w:rsidRPr="00856ECB">
        <w:rPr>
          <w:rFonts w:asciiTheme="majorBidi" w:hAnsiTheme="majorBidi" w:cstheme="majorBidi"/>
          <w:color w:val="000000" w:themeColor="text1"/>
        </w:rPr>
        <w:fldChar w:fldCharType="separate"/>
      </w:r>
      <w:r w:rsidR="008D6C80" w:rsidRPr="00856ECB">
        <w:rPr>
          <w:rFonts w:asciiTheme="majorBidi" w:hAnsiTheme="majorBidi" w:cstheme="majorBidi"/>
          <w:noProof/>
          <w:color w:val="000000" w:themeColor="text1"/>
        </w:rPr>
        <w:t>(13, 14)</w:t>
      </w:r>
      <w:r w:rsidRPr="00856ECB">
        <w:rPr>
          <w:rFonts w:asciiTheme="majorBidi" w:hAnsiTheme="majorBidi" w:cstheme="majorBidi"/>
          <w:color w:val="000000" w:themeColor="text1"/>
        </w:rPr>
        <w:fldChar w:fldCharType="end"/>
      </w:r>
      <w:r w:rsidRPr="00856ECB">
        <w:rPr>
          <w:rFonts w:asciiTheme="majorBidi" w:hAnsiTheme="majorBidi" w:cstheme="majorBidi"/>
          <w:color w:val="000000" w:themeColor="text1"/>
        </w:rPr>
        <w:t xml:space="preserve">. </w:t>
      </w:r>
    </w:p>
    <w:p w14:paraId="6FF664A5" w14:textId="14BAFAD7" w:rsidR="001C2A85" w:rsidRPr="00856ECB" w:rsidRDefault="001C2A85" w:rsidP="009A0C39">
      <w:pPr>
        <w:jc w:val="both"/>
        <w:rPr>
          <w:rFonts w:asciiTheme="majorBidi" w:hAnsiTheme="majorBidi" w:cstheme="majorBidi"/>
        </w:rPr>
      </w:pPr>
      <w:r w:rsidRPr="00856ECB">
        <w:rPr>
          <w:rFonts w:asciiTheme="majorBidi" w:hAnsiTheme="majorBidi" w:cstheme="majorBidi"/>
        </w:rPr>
        <w:t xml:space="preserve">Microbial metabolites are bioactive compounds produced by gut </w:t>
      </w:r>
      <w:proofErr w:type="spellStart"/>
      <w:r w:rsidRPr="00856ECB">
        <w:rPr>
          <w:rFonts w:asciiTheme="majorBidi" w:hAnsiTheme="majorBidi" w:cstheme="majorBidi"/>
        </w:rPr>
        <w:t>microbiota</w:t>
      </w:r>
      <w:proofErr w:type="spellEnd"/>
      <w:r w:rsidRPr="00856ECB">
        <w:rPr>
          <w:rFonts w:asciiTheme="majorBidi" w:hAnsiTheme="majorBidi" w:cstheme="majorBidi"/>
        </w:rPr>
        <w:t xml:space="preserve"> through the fermentation of dietary components. T</w:t>
      </w:r>
      <w:r w:rsidR="002A4B22" w:rsidRPr="00856ECB">
        <w:rPr>
          <w:rFonts w:asciiTheme="majorBidi" w:hAnsiTheme="majorBidi" w:cstheme="majorBidi"/>
        </w:rPr>
        <w:t>hese metabolites</w:t>
      </w:r>
      <w:r w:rsidRPr="00856ECB">
        <w:rPr>
          <w:rFonts w:asciiTheme="majorBidi" w:hAnsiTheme="majorBidi" w:cstheme="majorBidi"/>
        </w:rPr>
        <w:t xml:space="preserve"> play crucial roles in host metabolism, immune regulation, and maintaining gut-brain axis homeostasis. </w:t>
      </w:r>
    </w:p>
    <w:p w14:paraId="6435D0E9" w14:textId="77777777" w:rsidR="00F124DF" w:rsidRPr="00856ECB" w:rsidRDefault="00F124DF" w:rsidP="009A0C39">
      <w:pPr>
        <w:jc w:val="both"/>
        <w:rPr>
          <w:rFonts w:asciiTheme="majorBidi" w:hAnsiTheme="majorBidi" w:cstheme="majorBidi"/>
        </w:rPr>
      </w:pPr>
    </w:p>
    <w:p w14:paraId="3452D693" w14:textId="21D60316" w:rsidR="007E7322" w:rsidRPr="000D0431" w:rsidRDefault="007E7322" w:rsidP="00CE21C6">
      <w:pPr>
        <w:pStyle w:val="Heading3"/>
        <w:rPr>
          <w:rFonts w:asciiTheme="majorBidi" w:hAnsiTheme="majorBidi"/>
          <w:i/>
          <w:iCs/>
          <w:color w:val="auto"/>
        </w:rPr>
      </w:pPr>
      <w:r w:rsidRPr="000D0431">
        <w:rPr>
          <w:rFonts w:asciiTheme="majorBidi" w:hAnsiTheme="majorBidi"/>
          <w:i/>
          <w:iCs/>
          <w:color w:val="0070C0"/>
        </w:rPr>
        <w:t>Short-Chain Fatty Acids (SCFAs)</w:t>
      </w:r>
      <w:r w:rsidRPr="000D0431">
        <w:rPr>
          <w:rFonts w:asciiTheme="majorBidi" w:hAnsiTheme="majorBidi"/>
          <w:i/>
          <w:iCs/>
          <w:color w:val="auto"/>
        </w:rPr>
        <w:t xml:space="preserve"> </w:t>
      </w:r>
    </w:p>
    <w:p w14:paraId="6C56D651" w14:textId="5C67CEC5" w:rsidR="00DC7090" w:rsidRDefault="007E7322" w:rsidP="009A0C39">
      <w:pPr>
        <w:spacing w:line="276" w:lineRule="auto"/>
        <w:jc w:val="both"/>
        <w:rPr>
          <w:rFonts w:asciiTheme="majorBidi" w:hAnsiTheme="majorBidi" w:cstheme="majorBidi"/>
          <w:color w:val="000000" w:themeColor="text1"/>
        </w:rPr>
      </w:pPr>
      <w:r w:rsidRPr="00856ECB">
        <w:rPr>
          <w:rFonts w:asciiTheme="majorBidi" w:hAnsiTheme="majorBidi" w:cstheme="majorBidi"/>
          <w:color w:val="000000" w:themeColor="text1"/>
        </w:rPr>
        <w:t xml:space="preserve">Short-chain fatty acids, primarily acetate, propionate, and butyrate are produced through the fermentation of dietary fiber by the gut </w:t>
      </w:r>
      <w:proofErr w:type="spellStart"/>
      <w:r w:rsidRPr="00856ECB">
        <w:rPr>
          <w:rFonts w:asciiTheme="majorBidi" w:hAnsiTheme="majorBidi" w:cstheme="majorBidi"/>
          <w:color w:val="000000" w:themeColor="text1"/>
        </w:rPr>
        <w:t>microbiota</w:t>
      </w:r>
      <w:proofErr w:type="spellEnd"/>
      <w:r w:rsidRPr="00856ECB">
        <w:rPr>
          <w:rFonts w:asciiTheme="majorBidi" w:hAnsiTheme="majorBidi" w:cstheme="majorBidi"/>
          <w:color w:val="000000" w:themeColor="text1"/>
        </w:rPr>
        <w:t xml:space="preserve">. </w:t>
      </w:r>
      <w:r w:rsidR="002A4B22" w:rsidRPr="00856ECB">
        <w:rPr>
          <w:rFonts w:asciiTheme="majorBidi" w:hAnsiTheme="majorBidi" w:cstheme="majorBidi"/>
          <w:color w:val="000000" w:themeColor="text1"/>
        </w:rPr>
        <w:t xml:space="preserve">These compounds help preserve intestinal barrier integrity, enhance mucosal secretion, and exert anti-inflammatory effects. SCFAs exert their functions by activating G protein-coupled receptors (GPCRs), including GPR41, GPR43, GPR109A, and GPR164, on epithelial and immune cells. This receptor signaling modulates the release of hormones such as glucagon-like peptide-1 (GLP-1) and peptide YY (PYY), as well as insulin secretion from pancreatic β-cells, ultimately influencing appetite and glucose metabolism </w:t>
      </w:r>
      <w:r w:rsidRPr="00856ECB">
        <w:rPr>
          <w:rFonts w:asciiTheme="majorBidi" w:hAnsiTheme="majorBidi" w:cstheme="majorBidi"/>
          <w:color w:val="000000" w:themeColor="text1"/>
          <w:rtl/>
        </w:rPr>
        <w:t xml:space="preserve"> </w:t>
      </w:r>
      <w:r w:rsidR="00DC7090" w:rsidRPr="00856ECB">
        <w:rPr>
          <w:rFonts w:asciiTheme="majorBidi" w:hAnsiTheme="majorBidi" w:cstheme="majorBidi"/>
          <w:color w:val="000000" w:themeColor="text1"/>
        </w:rPr>
        <w:fldChar w:fldCharType="begin"/>
      </w:r>
      <w:r w:rsidR="008D6C80" w:rsidRPr="00856ECB">
        <w:rPr>
          <w:rFonts w:asciiTheme="majorBidi" w:hAnsiTheme="majorBidi" w:cstheme="majorBidi"/>
          <w:color w:val="000000" w:themeColor="text1"/>
        </w:rPr>
        <w:instrText xml:space="preserve"> ADDIN EN.CITE &lt;EndNote&gt;&lt;Cite&gt;&lt;Author&gt;Silva&lt;/Author&gt;&lt;Year&gt;2020&lt;/Year&gt;&lt;RecNum&gt;284&lt;/RecNum&gt;&lt;DisplayText&gt;(15, 16)&lt;/DisplayText&gt;&lt;record&gt;&lt;rec-number&gt;284&lt;/rec-number&gt;&lt;foreign-keys&gt;&lt;key app="EN" db-id="exwvr9fd40te9ner0f4ptrrorttf9svzawdd" timestamp="1751866805"&gt;284&lt;/key&gt;&lt;/foreign-keys&gt;&lt;ref-type name="Journal Article"&gt;17&lt;/ref-type&gt;&lt;contributors&gt;&lt;authors&gt;&lt;author&gt;Silva, Ygor Parladore&lt;/author&gt;&lt;author&gt;Bernardi, Andressa&lt;/author&gt;&lt;author&gt;Frozza, Rudimar Luiz&lt;/author&gt;&lt;/authors&gt;&lt;/contributors&gt;&lt;titles&gt;&lt;title&gt;The role of short-chain fatty acids from gut microbiota in gut-brain communication&lt;/title&gt;&lt;secondary-title&gt;Frontiers in endocrinology&lt;/secondary-title&gt;&lt;/titles&gt;&lt;periodical&gt;&lt;full-title&gt;Frontiers in endocrinology&lt;/full-title&gt;&lt;/periodical&gt;&lt;pages&gt;508738&lt;/pages&gt;&lt;volume&gt;11&lt;/volume&gt;&lt;dates&gt;&lt;year&gt;2020&lt;/year&gt;&lt;/dates&gt;&lt;isbn&gt;1664-2392&lt;/isbn&gt;&lt;urls&gt;&lt;/urls&gt;&lt;/record&gt;&lt;/Cite&gt;&lt;Cite&gt;&lt;Author&gt;Cherbut&lt;/Author&gt;&lt;Year&gt;1998&lt;/Year&gt;&lt;RecNum&gt;285&lt;/RecNum&gt;&lt;record&gt;&lt;rec-number&gt;285&lt;/rec-number&gt;&lt;foreign-keys&gt;&lt;key app="EN" db-id="exwvr9fd40te9ner0f4ptrrorttf9svzawdd" timestamp="1751866843"&gt;285&lt;/key&gt;&lt;/foreign-keys&gt;&lt;ref-type name="Journal Article"&gt;17&lt;/ref-type&gt;&lt;contributors&gt;&lt;authors&gt;&lt;author&gt;Cherbut, Christine&lt;/author&gt;&lt;author&gt;Ferrier, Laurent&lt;/author&gt;&lt;author&gt;Rozé, Claude&lt;/author&gt;&lt;author&gt;Anini, Younès&lt;/author&gt;&lt;author&gt;Blottière, Hervé&lt;/author&gt;&lt;author&gt;Lecannu, Gérard&lt;/author&gt;&lt;author&gt;Galmiche, Jean-Paul&lt;/author&gt;&lt;/authors&gt;&lt;/contributors&gt;&lt;titles&gt;&lt;title&gt;Short-chain fatty acids modify colonic motility through nerves and polypeptide YY release in the rat&lt;/title&gt;&lt;secondary-title&gt;American Journal of Physiology-Gastrointestinal and Liver Physiology&lt;/secondary-title&gt;&lt;/titles&gt;&lt;periodical&gt;&lt;full-title&gt;American Journal of Physiology-Gastrointestinal and Liver Physiology&lt;/full-title&gt;&lt;/periodical&gt;&lt;pages&gt;G1415-G1422&lt;/pages&gt;&lt;volume&gt;275&lt;/volume&gt;&lt;number&gt;6&lt;/number&gt;&lt;dates&gt;&lt;year&gt;1998&lt;/year&gt;&lt;/dates&gt;&lt;isbn&gt;1522-1547&lt;/isbn&gt;&lt;urls&gt;&lt;/urls&gt;&lt;/record&gt;&lt;/Cite&gt;&lt;/EndNote&gt;</w:instrText>
      </w:r>
      <w:r w:rsidR="00DC7090" w:rsidRPr="00856ECB">
        <w:rPr>
          <w:rFonts w:asciiTheme="majorBidi" w:hAnsiTheme="majorBidi" w:cstheme="majorBidi"/>
          <w:color w:val="000000" w:themeColor="text1"/>
        </w:rPr>
        <w:fldChar w:fldCharType="separate"/>
      </w:r>
      <w:r w:rsidR="008D6C80" w:rsidRPr="00856ECB">
        <w:rPr>
          <w:rFonts w:asciiTheme="majorBidi" w:hAnsiTheme="majorBidi" w:cstheme="majorBidi"/>
          <w:noProof/>
          <w:color w:val="000000" w:themeColor="text1"/>
        </w:rPr>
        <w:t>(15, 16)</w:t>
      </w:r>
      <w:r w:rsidR="00DC7090" w:rsidRPr="00856ECB">
        <w:rPr>
          <w:rFonts w:asciiTheme="majorBidi" w:hAnsiTheme="majorBidi" w:cstheme="majorBidi"/>
          <w:color w:val="000000" w:themeColor="text1"/>
        </w:rPr>
        <w:fldChar w:fldCharType="end"/>
      </w:r>
      <w:r w:rsidR="00957F12" w:rsidRPr="00856ECB">
        <w:rPr>
          <w:rFonts w:asciiTheme="majorBidi" w:hAnsiTheme="majorBidi" w:cstheme="majorBidi"/>
        </w:rPr>
        <w:t xml:space="preserve">. </w:t>
      </w:r>
      <w:r w:rsidR="00C27292" w:rsidRPr="00856ECB">
        <w:rPr>
          <w:rFonts w:asciiTheme="majorBidi" w:hAnsiTheme="majorBidi" w:cstheme="majorBidi"/>
        </w:rPr>
        <w:t xml:space="preserve"> </w:t>
      </w:r>
      <w:r w:rsidR="002A4B22" w:rsidRPr="00856ECB">
        <w:rPr>
          <w:rFonts w:asciiTheme="majorBidi" w:hAnsiTheme="majorBidi" w:cstheme="majorBidi"/>
        </w:rPr>
        <w:t>Butyrate and propionate also exhibit anti-inflammatory properties by reducing the expression of cytokines and nitric oxide via GPCR signaling, thus contributing to immune homeostasis</w:t>
      </w:r>
      <w:r w:rsidR="00957F12" w:rsidRPr="00856ECB">
        <w:rPr>
          <w:rFonts w:asciiTheme="majorBidi" w:hAnsiTheme="majorBidi" w:cstheme="majorBidi"/>
          <w:color w:val="000000" w:themeColor="text1"/>
        </w:rPr>
        <w:t xml:space="preserve"> </w:t>
      </w:r>
      <w:r w:rsidR="00957F12" w:rsidRPr="00856ECB">
        <w:rPr>
          <w:rFonts w:asciiTheme="majorBidi" w:hAnsiTheme="majorBidi" w:cstheme="majorBidi"/>
          <w:color w:val="000000" w:themeColor="text1"/>
        </w:rPr>
        <w:fldChar w:fldCharType="begin"/>
      </w:r>
      <w:r w:rsidR="008D6C80" w:rsidRPr="00856ECB">
        <w:rPr>
          <w:rFonts w:asciiTheme="majorBidi" w:hAnsiTheme="majorBidi" w:cstheme="majorBidi"/>
          <w:color w:val="000000" w:themeColor="text1"/>
        </w:rPr>
        <w:instrText xml:space="preserve"> ADDIN EN.CITE &lt;EndNote&gt;&lt;Cite&gt;&lt;Author&gt;Vinolo&lt;/Author&gt;&lt;Year&gt;2011&lt;/Year&gt;&lt;RecNum&gt;288&lt;/RecNum&gt;&lt;DisplayText&gt;(17, 18)&lt;/DisplayText&gt;&lt;record&gt;&lt;rec-number&gt;288&lt;/rec-number&gt;&lt;foreign-keys&gt;&lt;key app="EN" db-id="exwvr9fd40te9ner0f4ptrrorttf9svzawdd" timestamp="1751866947"&gt;288&lt;/key&gt;&lt;/foreign-keys&gt;&lt;ref-type name="Journal Article"&gt;17&lt;/ref-type&gt;&lt;contributors&gt;&lt;authors&gt;&lt;author&gt;Vinolo, Marco AR&lt;/author&gt;&lt;author&gt;Rodrigues, Hosana G&lt;/author&gt;&lt;author&gt;Nachbar, Renato T&lt;/author&gt;&lt;author&gt;Curi, Rui&lt;/author&gt;&lt;/authors&gt;&lt;/contributors&gt;&lt;titles&gt;&lt;title&gt;Regulation of inflammation by short chain fatty acids&lt;/title&gt;&lt;secondary-title&gt;Nutrients&lt;/secondary-title&gt;&lt;/titles&gt;&lt;periodical&gt;&lt;full-title&gt;Nutrients&lt;/full-title&gt;&lt;/periodical&gt;&lt;pages&gt;858-876&lt;/pages&gt;&lt;volume&gt;3&lt;/volume&gt;&lt;number&gt;10&lt;/number&gt;&lt;dates&gt;&lt;year&gt;2011&lt;/year&gt;&lt;/dates&gt;&lt;isbn&gt;2072-6643&lt;/isbn&gt;&lt;urls&gt;&lt;/urls&gt;&lt;/record&gt;&lt;/Cite&gt;&lt;Cite&gt;&lt;Author&gt;He&lt;/Author&gt;&lt;Year&gt;2020&lt;/Year&gt;&lt;RecNum&gt;289&lt;/RecNum&gt;&lt;record&gt;&lt;rec-number&gt;289&lt;/rec-number&gt;&lt;foreign-keys&gt;&lt;key app="EN" db-id="exwvr9fd40te9ner0f4ptrrorttf9svzawdd" timestamp="1751866986"&gt;289&lt;/key&gt;&lt;/foreign-keys&gt;&lt;ref-type name="Journal Article"&gt;17&lt;/ref-type&gt;&lt;contributors&gt;&lt;authors&gt;&lt;author&gt;He, Jin&lt;/author&gt;&lt;author&gt;Zhang, Peiwen&lt;/author&gt;&lt;author&gt;Shen, Linyuan&lt;/author&gt;&lt;author&gt;Niu, Lili&lt;/author&gt;&lt;author&gt;Tan, Ya&lt;/author&gt;&lt;author&gt;Chen, Lei&lt;/author&gt;&lt;author&gt;Zhao, Ye&lt;/author&gt;&lt;author&gt;Bai, Lin&lt;/author&gt;&lt;author&gt;Hao, Xiaoxia&lt;/author&gt;&lt;author&gt;Li, Xuewei&lt;/author&gt;&lt;/authors&gt;&lt;/contributors&gt;&lt;titles&gt;&lt;title&gt;Short-chain fatty acids and their association with signalling pathways in inflammation, glucose and lipid metabolism&lt;/title&gt;&lt;secondary-title&gt;International journal of molecular sciences&lt;/secondary-title&gt;&lt;/titles&gt;&lt;periodical&gt;&lt;full-title&gt;International journal of molecular sciences&lt;/full-title&gt;&lt;/periodical&gt;&lt;pages&gt;6356&lt;/pages&gt;&lt;volume&gt;21&lt;/volume&gt;&lt;number&gt;17&lt;/number&gt;&lt;dates&gt;&lt;year&gt;2020&lt;/year&gt;&lt;/dates&gt;&lt;isbn&gt;1422-0067&lt;/isbn&gt;&lt;urls&gt;&lt;/urls&gt;&lt;/record&gt;&lt;/Cite&gt;&lt;/EndNote&gt;</w:instrText>
      </w:r>
      <w:r w:rsidR="00957F12" w:rsidRPr="00856ECB">
        <w:rPr>
          <w:rFonts w:asciiTheme="majorBidi" w:hAnsiTheme="majorBidi" w:cstheme="majorBidi"/>
          <w:color w:val="000000" w:themeColor="text1"/>
        </w:rPr>
        <w:fldChar w:fldCharType="separate"/>
      </w:r>
      <w:r w:rsidR="008D6C80" w:rsidRPr="00856ECB">
        <w:rPr>
          <w:rFonts w:asciiTheme="majorBidi" w:hAnsiTheme="majorBidi" w:cstheme="majorBidi"/>
          <w:noProof/>
          <w:color w:val="000000" w:themeColor="text1"/>
        </w:rPr>
        <w:t>(17, 18)</w:t>
      </w:r>
      <w:r w:rsidR="00957F12" w:rsidRPr="00856ECB">
        <w:rPr>
          <w:rFonts w:asciiTheme="majorBidi" w:hAnsiTheme="majorBidi" w:cstheme="majorBidi"/>
          <w:color w:val="000000" w:themeColor="text1"/>
        </w:rPr>
        <w:fldChar w:fldCharType="end"/>
      </w:r>
      <w:r w:rsidR="00957F12" w:rsidRPr="00856ECB">
        <w:rPr>
          <w:rFonts w:asciiTheme="majorBidi" w:hAnsiTheme="majorBidi" w:cstheme="majorBidi"/>
          <w:color w:val="000000" w:themeColor="text1"/>
        </w:rPr>
        <w:t xml:space="preserve">. </w:t>
      </w:r>
      <w:r w:rsidR="00957F12" w:rsidRPr="00856ECB">
        <w:rPr>
          <w:rFonts w:asciiTheme="majorBidi" w:hAnsiTheme="majorBidi" w:cstheme="majorBidi"/>
        </w:rPr>
        <w:t>In addition,</w:t>
      </w:r>
      <w:r w:rsidR="002A4B22" w:rsidRPr="00856ECB">
        <w:rPr>
          <w:rFonts w:asciiTheme="majorBidi" w:hAnsiTheme="majorBidi" w:cstheme="majorBidi"/>
        </w:rPr>
        <w:t xml:space="preserve"> acetate and butyrate play roles in lipid metabolism by converting to acetyl-CoA, which serves as a substrate for energy production and triglyceride synthesis. These SCFAs can also activate AMP-activated protein kinase (AMPK), thereby </w:t>
      </w:r>
      <w:proofErr w:type="spellStart"/>
      <w:r w:rsidR="002A4B22" w:rsidRPr="00856ECB">
        <w:rPr>
          <w:rFonts w:asciiTheme="majorBidi" w:hAnsiTheme="majorBidi" w:cstheme="majorBidi"/>
        </w:rPr>
        <w:t>upregulating</w:t>
      </w:r>
      <w:proofErr w:type="spellEnd"/>
      <w:r w:rsidR="002A4B22" w:rsidRPr="00856ECB">
        <w:rPr>
          <w:rFonts w:asciiTheme="majorBidi" w:hAnsiTheme="majorBidi" w:cstheme="majorBidi"/>
        </w:rPr>
        <w:t xml:space="preserve"> PGC-1α and modulating transcription factors like PPARα and </w:t>
      </w:r>
      <w:proofErr w:type="spellStart"/>
      <w:r w:rsidR="002A4B22" w:rsidRPr="00856ECB">
        <w:rPr>
          <w:rFonts w:asciiTheme="majorBidi" w:hAnsiTheme="majorBidi" w:cstheme="majorBidi"/>
        </w:rPr>
        <w:t>PPARγ</w:t>
      </w:r>
      <w:proofErr w:type="spellEnd"/>
      <w:r w:rsidR="002A4B22" w:rsidRPr="00856ECB">
        <w:rPr>
          <w:rFonts w:asciiTheme="majorBidi" w:hAnsiTheme="majorBidi" w:cstheme="majorBidi"/>
        </w:rPr>
        <w:t xml:space="preserve"> that govern lipid utilization. Furthermore, SCFAs influence lipolysis through hormone-sensitive lipase (HSL) and adipose triglyceride lipase (ATGL), thereby modulating fat storage and mobilization </w:t>
      </w:r>
      <w:r w:rsidR="00C27292" w:rsidRPr="00856ECB">
        <w:rPr>
          <w:rFonts w:asciiTheme="majorBidi" w:hAnsiTheme="majorBidi" w:cstheme="majorBidi"/>
        </w:rPr>
        <w:fldChar w:fldCharType="begin"/>
      </w:r>
      <w:r w:rsidR="00C27292" w:rsidRPr="00856ECB">
        <w:rPr>
          <w:rFonts w:asciiTheme="majorBidi" w:hAnsiTheme="majorBidi" w:cstheme="majorBidi"/>
        </w:rPr>
        <w:instrText xml:space="preserve"> ADDIN EN.CITE &lt;EndNote&gt;&lt;Cite&gt;&lt;Author&gt;May&lt;/Author&gt;&lt;Year&gt;2021&lt;/Year&gt;&lt;RecNum&gt;291&lt;/RecNum&gt;&lt;DisplayText&gt;(19, 20)&lt;/DisplayText&gt;&lt;record&gt;&lt;rec-number&gt;291&lt;/rec-number&gt;&lt;foreign-keys&gt;&lt;key app="EN" db-id="exwvr9fd40te9ner0f4ptrrorttf9svzawdd" timestamp="1751867567"&gt;291&lt;/key&gt;&lt;/foreign-keys&gt;&lt;ref-type name="Journal Article"&gt;17&lt;/ref-type&gt;&lt;contributors&gt;&lt;authors&gt;&lt;author&gt;May, Karolline S&lt;/author&gt;&lt;author&gt;den Hartigh, Laura J&lt;/author&gt;&lt;/authors&gt;&lt;/contributors&gt;&lt;titles&gt;&lt;title&gt;Modulation of adipocyte metabolism by microbial short-chain fatty acids&lt;/title&gt;&lt;secondary-title&gt;Nutrients&lt;/secondary-title&gt;&lt;/titles&gt;&lt;periodical&gt;&lt;full-title&gt;Nutrients&lt;/full-title&gt;&lt;/periodical&gt;&lt;pages&gt;3666&lt;/pages&gt;&lt;volume&gt;13&lt;/volume&gt;&lt;number&gt;10&lt;/number&gt;&lt;dates&gt;&lt;year&gt;2021&lt;/year&gt;&lt;/dates&gt;&lt;isbn&gt;2072-6643&lt;/isbn&gt;&lt;urls&gt;&lt;/urls&gt;&lt;/record&gt;&lt;/Cite&gt;&lt;Cite&gt;&lt;Author&gt;Cao&lt;/Author&gt;&lt;Year&gt;2024&lt;/Year&gt;&lt;RecNum&gt;292&lt;/RecNum&gt;&lt;record&gt;&lt;rec-number&gt;292&lt;/rec-number&gt;&lt;foreign-keys&gt;&lt;key app="EN" db-id="exwvr9fd40te9ner0f4ptrrorttf9svzawdd" timestamp="1751867606"&gt;292&lt;/key&gt;&lt;/foreign-keys&gt;&lt;ref-type name="Journal Article"&gt;17&lt;/ref-type&gt;&lt;contributors&gt;&lt;authors&gt;&lt;author&gt;Cao, Shixi&lt;/author&gt;&lt;author&gt;Liu, Mengqi&lt;/author&gt;&lt;author&gt;Han, Yao&lt;/author&gt;&lt;author&gt;Li, Shouren&lt;/author&gt;&lt;author&gt;Zhu, Xiaoyan&lt;/author&gt;&lt;author&gt;Li, Defeng&lt;/author&gt;&lt;author&gt;Shi, Yinghua&lt;/author&gt;&lt;author&gt;Liu, Boshuai&lt;/author&gt;&lt;/authors&gt;&lt;/contributors&gt;&lt;titles&gt;&lt;title&gt;Effects of saponins on lipid metabolism: the gut–liver axis plays a key role&lt;/title&gt;&lt;secondary-title&gt;Nutrients&lt;/secondary-title&gt;&lt;/titles&gt;&lt;periodical&gt;&lt;full-title&gt;Nutrients&lt;/full-title&gt;&lt;/periodical&gt;&lt;pages&gt;1514&lt;/pages&gt;&lt;volume&gt;16&lt;/volume&gt;&lt;number&gt;10&lt;/number&gt;&lt;dates&gt;&lt;year&gt;2024&lt;/year&gt;&lt;/dates&gt;&lt;isbn&gt;2072-6643&lt;/isbn&gt;&lt;urls&gt;&lt;/urls&gt;&lt;/record&gt;&lt;/Cite&gt;&lt;/EndNote&gt;</w:instrText>
      </w:r>
      <w:r w:rsidR="00C27292" w:rsidRPr="00856ECB">
        <w:rPr>
          <w:rFonts w:asciiTheme="majorBidi" w:hAnsiTheme="majorBidi" w:cstheme="majorBidi"/>
        </w:rPr>
        <w:fldChar w:fldCharType="separate"/>
      </w:r>
      <w:r w:rsidR="00C27292" w:rsidRPr="00856ECB">
        <w:rPr>
          <w:rFonts w:asciiTheme="majorBidi" w:hAnsiTheme="majorBidi" w:cstheme="majorBidi"/>
          <w:noProof/>
        </w:rPr>
        <w:t>(19, 20)</w:t>
      </w:r>
      <w:r w:rsidR="00C27292" w:rsidRPr="00856ECB">
        <w:rPr>
          <w:rFonts w:asciiTheme="majorBidi" w:hAnsiTheme="majorBidi" w:cstheme="majorBidi"/>
        </w:rPr>
        <w:fldChar w:fldCharType="end"/>
      </w:r>
      <w:r w:rsidR="00DC7090" w:rsidRPr="00856ECB">
        <w:rPr>
          <w:rFonts w:asciiTheme="majorBidi" w:hAnsiTheme="majorBidi" w:cstheme="majorBidi"/>
          <w:color w:val="000000" w:themeColor="text1"/>
        </w:rPr>
        <w:t>.</w:t>
      </w:r>
    </w:p>
    <w:p w14:paraId="575030E8" w14:textId="50BD06BC" w:rsidR="00137074" w:rsidRPr="00137074" w:rsidRDefault="00137074" w:rsidP="00AF587B">
      <w:pPr>
        <w:spacing w:line="276" w:lineRule="auto"/>
        <w:jc w:val="both"/>
        <w:rPr>
          <w:rFonts w:asciiTheme="majorBidi" w:hAnsiTheme="majorBidi" w:cstheme="majorBidi"/>
          <w:color w:val="000000" w:themeColor="text1"/>
        </w:rPr>
      </w:pPr>
    </w:p>
    <w:p w14:paraId="43B7198B" w14:textId="7EB82D2A" w:rsidR="00137074" w:rsidRDefault="00137074" w:rsidP="009A0C39">
      <w:pPr>
        <w:spacing w:line="276" w:lineRule="auto"/>
        <w:jc w:val="both"/>
        <w:rPr>
          <w:rFonts w:asciiTheme="majorBidi" w:hAnsiTheme="majorBidi" w:cstheme="majorBidi"/>
          <w:color w:val="000000" w:themeColor="text1"/>
        </w:rPr>
      </w:pPr>
      <w:bookmarkStart w:id="1" w:name="_Hlk209634453"/>
      <w:proofErr w:type="gramStart"/>
      <w:r>
        <w:rPr>
          <w:rFonts w:asciiTheme="majorBidi" w:hAnsiTheme="majorBidi" w:cstheme="majorBidi"/>
          <w:color w:val="000000" w:themeColor="text1"/>
        </w:rPr>
        <w:t>Fig 2.</w:t>
      </w:r>
      <w:proofErr w:type="gramEnd"/>
      <w:r>
        <w:rPr>
          <w:rFonts w:asciiTheme="majorBidi" w:hAnsiTheme="majorBidi" w:cstheme="majorBidi"/>
          <w:color w:val="000000" w:themeColor="text1"/>
        </w:rPr>
        <w:t xml:space="preserve"> Gut microbial metabolites: The </w:t>
      </w:r>
      <w:r w:rsidR="00AF587B">
        <w:rPr>
          <w:rFonts w:asciiTheme="majorBidi" w:hAnsiTheme="majorBidi" w:cstheme="majorBidi"/>
          <w:color w:val="000000" w:themeColor="text1"/>
        </w:rPr>
        <w:t xml:space="preserve">functional </w:t>
      </w:r>
      <w:r>
        <w:rPr>
          <w:rFonts w:asciiTheme="majorBidi" w:hAnsiTheme="majorBidi" w:cstheme="majorBidi"/>
          <w:color w:val="000000" w:themeColor="text1"/>
        </w:rPr>
        <w:t>effect</w:t>
      </w:r>
      <w:r w:rsidR="00AF587B">
        <w:rPr>
          <w:rFonts w:asciiTheme="majorBidi" w:hAnsiTheme="majorBidi" w:cstheme="majorBidi"/>
          <w:color w:val="000000" w:themeColor="text1"/>
        </w:rPr>
        <w:t xml:space="preserve"> of </w:t>
      </w:r>
      <w:r w:rsidR="00F968C5">
        <w:rPr>
          <w:rFonts w:asciiTheme="majorBidi" w:hAnsiTheme="majorBidi" w:cstheme="majorBidi"/>
          <w:color w:val="000000" w:themeColor="text1"/>
        </w:rPr>
        <w:t>SCFAs</w:t>
      </w:r>
      <w:r>
        <w:rPr>
          <w:rFonts w:asciiTheme="majorBidi" w:hAnsiTheme="majorBidi" w:cstheme="majorBidi"/>
          <w:color w:val="000000" w:themeColor="text1"/>
        </w:rPr>
        <w:t xml:space="preserve"> on signal transduction pathways</w:t>
      </w:r>
      <w:r w:rsidR="00C14520">
        <w:rPr>
          <w:rFonts w:asciiTheme="majorBidi" w:hAnsiTheme="majorBidi" w:cstheme="majorBidi"/>
          <w:color w:val="000000" w:themeColor="text1"/>
        </w:rPr>
        <w:t>.</w:t>
      </w:r>
      <w:r w:rsidR="00AF587B">
        <w:rPr>
          <w:rFonts w:asciiTheme="majorBidi" w:hAnsiTheme="majorBidi" w:cstheme="majorBidi"/>
          <w:color w:val="000000" w:themeColor="text1"/>
        </w:rPr>
        <w:t xml:space="preserve"> </w:t>
      </w:r>
      <w:r>
        <w:rPr>
          <w:rFonts w:asciiTheme="majorBidi" w:hAnsiTheme="majorBidi" w:cstheme="majorBidi"/>
          <w:color w:val="000000" w:themeColor="text1"/>
        </w:rPr>
        <w:t>(</w:t>
      </w:r>
      <w:proofErr w:type="gramStart"/>
      <w:r w:rsidR="008A4575">
        <w:rPr>
          <w:rFonts w:asciiTheme="majorBidi" w:hAnsiTheme="majorBidi" w:cstheme="majorBidi"/>
          <w:color w:val="000000" w:themeColor="text1"/>
        </w:rPr>
        <w:t>c</w:t>
      </w:r>
      <w:r>
        <w:rPr>
          <w:rFonts w:asciiTheme="majorBidi" w:hAnsiTheme="majorBidi" w:cstheme="majorBidi"/>
          <w:color w:val="000000" w:themeColor="text1"/>
        </w:rPr>
        <w:t>reated</w:t>
      </w:r>
      <w:proofErr w:type="gramEnd"/>
      <w:r>
        <w:rPr>
          <w:rFonts w:asciiTheme="majorBidi" w:hAnsiTheme="majorBidi" w:cstheme="majorBidi"/>
          <w:color w:val="000000" w:themeColor="text1"/>
        </w:rPr>
        <w:t xml:space="preserve"> by Biorender.com)</w:t>
      </w:r>
    </w:p>
    <w:p w14:paraId="7AA9A069" w14:textId="77777777" w:rsidR="000D0431" w:rsidRPr="00856ECB" w:rsidRDefault="000D0431" w:rsidP="009A0C39">
      <w:pPr>
        <w:spacing w:line="276" w:lineRule="auto"/>
        <w:jc w:val="both"/>
        <w:rPr>
          <w:rFonts w:asciiTheme="majorBidi" w:hAnsiTheme="majorBidi" w:cstheme="majorBidi"/>
          <w:color w:val="000000" w:themeColor="text1"/>
        </w:rPr>
      </w:pPr>
    </w:p>
    <w:p w14:paraId="703BD90B" w14:textId="77777777" w:rsidR="00DD7170" w:rsidRPr="00856ECB" w:rsidRDefault="00DD7170" w:rsidP="009A0C39">
      <w:pPr>
        <w:spacing w:line="276" w:lineRule="auto"/>
        <w:jc w:val="both"/>
        <w:rPr>
          <w:rFonts w:asciiTheme="majorBidi" w:hAnsiTheme="majorBidi" w:cstheme="majorBidi"/>
          <w:color w:val="000000" w:themeColor="text1"/>
        </w:rPr>
      </w:pPr>
    </w:p>
    <w:bookmarkEnd w:id="1"/>
    <w:p w14:paraId="44F09315" w14:textId="271A8FC9" w:rsidR="00262A6F" w:rsidRPr="008B5AB2" w:rsidRDefault="00262A6F" w:rsidP="00CE21C6">
      <w:pPr>
        <w:pStyle w:val="Heading3"/>
        <w:rPr>
          <w:rFonts w:asciiTheme="majorBidi" w:hAnsiTheme="majorBidi"/>
          <w:i/>
          <w:iCs/>
        </w:rPr>
      </w:pPr>
      <w:r w:rsidRPr="008B5AB2">
        <w:rPr>
          <w:rFonts w:asciiTheme="majorBidi" w:hAnsiTheme="majorBidi"/>
          <w:i/>
          <w:iCs/>
        </w:rPr>
        <w:lastRenderedPageBreak/>
        <w:t>Neurotransmitter Production</w:t>
      </w:r>
    </w:p>
    <w:p w14:paraId="5C476019" w14:textId="63AAFF0E" w:rsidR="00262A6F" w:rsidRPr="00856ECB" w:rsidRDefault="002A4B22" w:rsidP="009A0C39">
      <w:pPr>
        <w:spacing w:line="276" w:lineRule="auto"/>
        <w:jc w:val="both"/>
        <w:rPr>
          <w:rFonts w:asciiTheme="majorBidi" w:hAnsiTheme="majorBidi" w:cstheme="majorBidi"/>
          <w:color w:val="000000" w:themeColor="text1"/>
        </w:rPr>
      </w:pPr>
      <w:r w:rsidRPr="00856ECB">
        <w:rPr>
          <w:rFonts w:asciiTheme="majorBidi" w:hAnsiTheme="majorBidi" w:cstheme="majorBidi"/>
          <w:color w:val="000000" w:themeColor="text1"/>
        </w:rPr>
        <w:t xml:space="preserve">Emerging evidence indicates that the gut </w:t>
      </w:r>
      <w:proofErr w:type="spellStart"/>
      <w:r w:rsidRPr="00856ECB">
        <w:rPr>
          <w:rFonts w:asciiTheme="majorBidi" w:hAnsiTheme="majorBidi" w:cstheme="majorBidi"/>
          <w:color w:val="000000" w:themeColor="text1"/>
        </w:rPr>
        <w:t>microbiota</w:t>
      </w:r>
      <w:proofErr w:type="spellEnd"/>
      <w:r w:rsidRPr="00856ECB">
        <w:rPr>
          <w:rFonts w:asciiTheme="majorBidi" w:hAnsiTheme="majorBidi" w:cstheme="majorBidi"/>
          <w:color w:val="000000" w:themeColor="text1"/>
        </w:rPr>
        <w:t xml:space="preserve"> significantly influences the biosynthesis of key neurotransmitters, including </w:t>
      </w:r>
      <w:bookmarkStart w:id="2" w:name="_Hlk204751778"/>
      <w:r w:rsidRPr="00856ECB">
        <w:rPr>
          <w:rFonts w:asciiTheme="majorBidi" w:hAnsiTheme="majorBidi" w:cstheme="majorBidi"/>
          <w:color w:val="000000" w:themeColor="text1"/>
        </w:rPr>
        <w:t>γ-</w:t>
      </w:r>
      <w:proofErr w:type="spellStart"/>
      <w:r w:rsidRPr="00856ECB">
        <w:rPr>
          <w:rFonts w:asciiTheme="majorBidi" w:hAnsiTheme="majorBidi" w:cstheme="majorBidi"/>
          <w:color w:val="000000" w:themeColor="text1"/>
        </w:rPr>
        <w:t>aminobutyric</w:t>
      </w:r>
      <w:proofErr w:type="spellEnd"/>
      <w:r w:rsidRPr="00856ECB">
        <w:rPr>
          <w:rFonts w:asciiTheme="majorBidi" w:hAnsiTheme="majorBidi" w:cstheme="majorBidi"/>
          <w:color w:val="000000" w:themeColor="text1"/>
        </w:rPr>
        <w:t xml:space="preserve"> acid</w:t>
      </w:r>
      <w:bookmarkEnd w:id="2"/>
      <w:r w:rsidRPr="00856ECB">
        <w:rPr>
          <w:rFonts w:asciiTheme="majorBidi" w:hAnsiTheme="majorBidi" w:cstheme="majorBidi"/>
          <w:color w:val="000000" w:themeColor="text1"/>
        </w:rPr>
        <w:t xml:space="preserve">, dopamine, norepinephrine, serotonin, and histamine. These microbial activities affect central and enteric nervous system functions and are linked to mood regulation and neuropsychiatric conditions. Neurotransmitters can be broadly categorized into amino acid derivatives (e.g., glutamate, </w:t>
      </w:r>
      <w:r w:rsidR="007F05CE" w:rsidRPr="00856ECB">
        <w:rPr>
          <w:rFonts w:asciiTheme="majorBidi" w:hAnsiTheme="majorBidi" w:cstheme="majorBidi"/>
          <w:color w:val="000000" w:themeColor="text1"/>
        </w:rPr>
        <w:t>γ-</w:t>
      </w:r>
      <w:proofErr w:type="spellStart"/>
      <w:r w:rsidR="007F05CE" w:rsidRPr="00856ECB">
        <w:rPr>
          <w:rFonts w:asciiTheme="majorBidi" w:hAnsiTheme="majorBidi" w:cstheme="majorBidi"/>
          <w:color w:val="000000" w:themeColor="text1"/>
        </w:rPr>
        <w:t>aminobutyric</w:t>
      </w:r>
      <w:proofErr w:type="spellEnd"/>
      <w:r w:rsidR="007F05CE" w:rsidRPr="00856ECB">
        <w:rPr>
          <w:rFonts w:asciiTheme="majorBidi" w:hAnsiTheme="majorBidi" w:cstheme="majorBidi"/>
          <w:color w:val="000000" w:themeColor="text1"/>
        </w:rPr>
        <w:t xml:space="preserve"> acid</w:t>
      </w:r>
      <w:r w:rsidRPr="00856ECB">
        <w:rPr>
          <w:rFonts w:asciiTheme="majorBidi" w:hAnsiTheme="majorBidi" w:cstheme="majorBidi"/>
          <w:color w:val="000000" w:themeColor="text1"/>
        </w:rPr>
        <w:t>, glycine), monoamines (e.g., dopamine, norepinephrine), trace amines, peptides, purines, and acetylcholine—all playing diverse roles in neural communication</w:t>
      </w:r>
      <w:r w:rsidR="001945D0" w:rsidRPr="00856ECB">
        <w:rPr>
          <w:rFonts w:asciiTheme="majorBidi" w:hAnsiTheme="majorBidi" w:cstheme="majorBidi"/>
          <w:color w:val="000000" w:themeColor="text1"/>
        </w:rPr>
        <w:t xml:space="preserve"> </w:t>
      </w:r>
      <w:r w:rsidR="00363DCC" w:rsidRPr="00856ECB">
        <w:rPr>
          <w:rFonts w:asciiTheme="majorBidi" w:hAnsiTheme="majorBidi" w:cstheme="majorBidi"/>
          <w:color w:val="000000" w:themeColor="text1"/>
        </w:rPr>
        <w:fldChar w:fldCharType="begin"/>
      </w:r>
      <w:r w:rsidR="00C27292" w:rsidRPr="00856ECB">
        <w:rPr>
          <w:rFonts w:asciiTheme="majorBidi" w:hAnsiTheme="majorBidi" w:cstheme="majorBidi"/>
          <w:color w:val="000000" w:themeColor="text1"/>
        </w:rPr>
        <w:instrText xml:space="preserve"> ADDIN EN.CITE &lt;EndNote&gt;&lt;Cite&gt;&lt;Author&gt;Dicks&lt;/Author&gt;&lt;Year&gt;2022&lt;/Year&gt;&lt;RecNum&gt;296&lt;/RecNum&gt;&lt;DisplayText&gt;(21)&lt;/DisplayText&gt;&lt;record&gt;&lt;rec-number&gt;296&lt;/rec-number&gt;&lt;foreign-keys&gt;&lt;key app="EN" db-id="exwvr9fd40te9ner0f4ptrrorttf9svzawdd" timestamp="1751869281"&gt;296&lt;/key&gt;&lt;/foreign-keys&gt;&lt;ref-type name="Journal Article"&gt;17&lt;/ref-type&gt;&lt;contributors&gt;&lt;authors&gt;&lt;author&gt;Dicks, Leon MT&lt;/author&gt;&lt;/authors&gt;&lt;/contributors&gt;&lt;titles&gt;&lt;title&gt;Gut bacteria and neurotransmitters&lt;/title&gt;&lt;secondary-title&gt;Microorganisms&lt;/secondary-title&gt;&lt;/titles&gt;&lt;periodical&gt;&lt;full-title&gt;Microorganisms&lt;/full-title&gt;&lt;/periodical&gt;&lt;pages&gt;1838&lt;/pages&gt;&lt;volume&gt;10&lt;/volume&gt;&lt;number&gt;9&lt;/number&gt;&lt;dates&gt;&lt;year&gt;2022&lt;/year&gt;&lt;/dates&gt;&lt;isbn&gt;2076-2607&lt;/isbn&gt;&lt;urls&gt;&lt;/urls&gt;&lt;/record&gt;&lt;/Cite&gt;&lt;/EndNote&gt;</w:instrText>
      </w:r>
      <w:r w:rsidR="00363DCC" w:rsidRPr="00856ECB">
        <w:rPr>
          <w:rFonts w:asciiTheme="majorBidi" w:hAnsiTheme="majorBidi" w:cstheme="majorBidi"/>
          <w:color w:val="000000" w:themeColor="text1"/>
        </w:rPr>
        <w:fldChar w:fldCharType="separate"/>
      </w:r>
      <w:r w:rsidR="00C27292" w:rsidRPr="00856ECB">
        <w:rPr>
          <w:rFonts w:asciiTheme="majorBidi" w:hAnsiTheme="majorBidi" w:cstheme="majorBidi"/>
          <w:noProof/>
          <w:color w:val="000000" w:themeColor="text1"/>
        </w:rPr>
        <w:t>(21)</w:t>
      </w:r>
      <w:r w:rsidR="00363DCC" w:rsidRPr="00856ECB">
        <w:rPr>
          <w:rFonts w:asciiTheme="majorBidi" w:hAnsiTheme="majorBidi" w:cstheme="majorBidi"/>
          <w:color w:val="000000" w:themeColor="text1"/>
        </w:rPr>
        <w:fldChar w:fldCharType="end"/>
      </w:r>
      <w:r w:rsidR="00262A6F" w:rsidRPr="00856ECB">
        <w:rPr>
          <w:rFonts w:asciiTheme="majorBidi" w:hAnsiTheme="majorBidi" w:cstheme="majorBidi"/>
          <w:color w:val="000000" w:themeColor="text1"/>
        </w:rPr>
        <w:t>.</w:t>
      </w:r>
    </w:p>
    <w:p w14:paraId="11FF254E" w14:textId="1FB2E9A8" w:rsidR="00DD7170" w:rsidRPr="00856ECB" w:rsidRDefault="002D6F38" w:rsidP="009A0C39">
      <w:pPr>
        <w:spacing w:line="276" w:lineRule="auto"/>
        <w:jc w:val="both"/>
        <w:rPr>
          <w:rFonts w:asciiTheme="majorBidi" w:hAnsiTheme="majorBidi" w:cstheme="majorBidi"/>
          <w:color w:val="000000" w:themeColor="text1"/>
        </w:rPr>
      </w:pPr>
      <w:r w:rsidRPr="00856ECB">
        <w:rPr>
          <w:rFonts w:asciiTheme="majorBidi" w:hAnsiTheme="majorBidi" w:cstheme="majorBidi"/>
          <w:color w:val="000000" w:themeColor="text1"/>
        </w:rPr>
        <w:t>Glutamate (</w:t>
      </w:r>
      <w:proofErr w:type="spellStart"/>
      <w:r w:rsidRPr="00856ECB">
        <w:rPr>
          <w:rFonts w:asciiTheme="majorBidi" w:hAnsiTheme="majorBidi" w:cstheme="majorBidi"/>
          <w:color w:val="000000" w:themeColor="text1"/>
        </w:rPr>
        <w:t>Glu</w:t>
      </w:r>
      <w:proofErr w:type="spellEnd"/>
      <w:r w:rsidRPr="00856ECB">
        <w:rPr>
          <w:rFonts w:asciiTheme="majorBidi" w:hAnsiTheme="majorBidi" w:cstheme="majorBidi"/>
          <w:color w:val="000000" w:themeColor="text1"/>
        </w:rPr>
        <w:t xml:space="preserve">) is the principal excitatory neurotransmitter in the brain, crucial for learning, memory, and synaptic plasticity. It acts on </w:t>
      </w:r>
      <w:proofErr w:type="spellStart"/>
      <w:r w:rsidRPr="00856ECB">
        <w:rPr>
          <w:rFonts w:asciiTheme="majorBidi" w:hAnsiTheme="majorBidi" w:cstheme="majorBidi"/>
          <w:color w:val="000000" w:themeColor="text1"/>
        </w:rPr>
        <w:t>ionotropic</w:t>
      </w:r>
      <w:proofErr w:type="spellEnd"/>
      <w:r w:rsidRPr="00856ECB">
        <w:rPr>
          <w:rFonts w:asciiTheme="majorBidi" w:hAnsiTheme="majorBidi" w:cstheme="majorBidi"/>
          <w:color w:val="000000" w:themeColor="text1"/>
        </w:rPr>
        <w:t xml:space="preserve"> receptors, triggering calcium influx and downstream signaling pathways. </w:t>
      </w:r>
      <w:proofErr w:type="gramStart"/>
      <w:r w:rsidR="007F05CE" w:rsidRPr="00856ECB">
        <w:rPr>
          <w:rFonts w:asciiTheme="majorBidi" w:hAnsiTheme="majorBidi" w:cstheme="majorBidi"/>
          <w:color w:val="000000" w:themeColor="text1"/>
        </w:rPr>
        <w:t>γ-</w:t>
      </w:r>
      <w:proofErr w:type="spellStart"/>
      <w:r w:rsidR="007F05CE" w:rsidRPr="00856ECB">
        <w:rPr>
          <w:rFonts w:asciiTheme="majorBidi" w:hAnsiTheme="majorBidi" w:cstheme="majorBidi"/>
          <w:color w:val="000000" w:themeColor="text1"/>
        </w:rPr>
        <w:t>aminobutyric</w:t>
      </w:r>
      <w:proofErr w:type="spellEnd"/>
      <w:proofErr w:type="gramEnd"/>
      <w:r w:rsidR="007F05CE" w:rsidRPr="00856ECB">
        <w:rPr>
          <w:rFonts w:asciiTheme="majorBidi" w:hAnsiTheme="majorBidi" w:cstheme="majorBidi"/>
          <w:color w:val="000000" w:themeColor="text1"/>
        </w:rPr>
        <w:t xml:space="preserve"> acid (</w:t>
      </w:r>
      <w:r w:rsidRPr="00856ECB">
        <w:rPr>
          <w:rFonts w:asciiTheme="majorBidi" w:hAnsiTheme="majorBidi" w:cstheme="majorBidi"/>
          <w:color w:val="000000" w:themeColor="text1"/>
        </w:rPr>
        <w:t>GABA</w:t>
      </w:r>
      <w:r w:rsidR="007F05CE" w:rsidRPr="00856ECB">
        <w:rPr>
          <w:rFonts w:asciiTheme="majorBidi" w:hAnsiTheme="majorBidi" w:cstheme="majorBidi"/>
          <w:color w:val="000000" w:themeColor="text1"/>
        </w:rPr>
        <w:t>)</w:t>
      </w:r>
      <w:r w:rsidRPr="00856ECB">
        <w:rPr>
          <w:rFonts w:asciiTheme="majorBidi" w:hAnsiTheme="majorBidi" w:cstheme="majorBidi"/>
          <w:color w:val="000000" w:themeColor="text1"/>
        </w:rPr>
        <w:t xml:space="preserve">, derived from glutamate, serves as the main inhibitory neurotransmitter, maintaining neuronal balance. Certain </w:t>
      </w:r>
      <w:r w:rsidRPr="00856ECB">
        <w:rPr>
          <w:rFonts w:asciiTheme="majorBidi" w:hAnsiTheme="majorBidi" w:cstheme="majorBidi"/>
          <w:i/>
          <w:iCs/>
          <w:color w:val="000000" w:themeColor="text1"/>
        </w:rPr>
        <w:t>Lactobacillus</w:t>
      </w:r>
      <w:r w:rsidRPr="00856ECB">
        <w:rPr>
          <w:rFonts w:asciiTheme="majorBidi" w:hAnsiTheme="majorBidi" w:cstheme="majorBidi"/>
          <w:color w:val="000000" w:themeColor="text1"/>
        </w:rPr>
        <w:t xml:space="preserve"> species can enhance GABA synthesis and receptor expression, thereby influencing anxiety and mood disorders. Glycine functions both as an excitatory and inhibitory neurotransmitter and acts in conjunction with glutamate at NMDA</w:t>
      </w:r>
      <w:r w:rsidR="00945027" w:rsidRPr="00856ECB">
        <w:rPr>
          <w:rStyle w:val="FootnoteReference"/>
          <w:rFonts w:asciiTheme="majorBidi" w:hAnsiTheme="majorBidi" w:cstheme="majorBidi"/>
          <w:color w:val="000000" w:themeColor="text1"/>
        </w:rPr>
        <w:footnoteReference w:id="1"/>
      </w:r>
      <w:r w:rsidRPr="00856ECB">
        <w:rPr>
          <w:rFonts w:asciiTheme="majorBidi" w:hAnsiTheme="majorBidi" w:cstheme="majorBidi"/>
          <w:color w:val="000000" w:themeColor="text1"/>
        </w:rPr>
        <w:t xml:space="preserve"> receptors to support motor control and cognitive processing. Dopamine (DA), synthesized in regions such as the </w:t>
      </w:r>
      <w:proofErr w:type="spellStart"/>
      <w:r w:rsidRPr="00856ECB">
        <w:rPr>
          <w:rFonts w:asciiTheme="majorBidi" w:hAnsiTheme="majorBidi" w:cstheme="majorBidi"/>
          <w:color w:val="000000" w:themeColor="text1"/>
        </w:rPr>
        <w:t>substantia</w:t>
      </w:r>
      <w:proofErr w:type="spellEnd"/>
      <w:r w:rsidRPr="00856ECB">
        <w:rPr>
          <w:rFonts w:asciiTheme="majorBidi" w:hAnsiTheme="majorBidi" w:cstheme="majorBidi"/>
          <w:color w:val="000000" w:themeColor="text1"/>
        </w:rPr>
        <w:t xml:space="preserve"> </w:t>
      </w:r>
      <w:proofErr w:type="spellStart"/>
      <w:r w:rsidRPr="00856ECB">
        <w:rPr>
          <w:rFonts w:asciiTheme="majorBidi" w:hAnsiTheme="majorBidi" w:cstheme="majorBidi"/>
          <w:color w:val="000000" w:themeColor="text1"/>
        </w:rPr>
        <w:t>nigra</w:t>
      </w:r>
      <w:proofErr w:type="spellEnd"/>
      <w:r w:rsidRPr="00856ECB">
        <w:rPr>
          <w:rFonts w:asciiTheme="majorBidi" w:hAnsiTheme="majorBidi" w:cstheme="majorBidi"/>
          <w:color w:val="000000" w:themeColor="text1"/>
        </w:rPr>
        <w:t xml:space="preserve"> and ventral tegmental area, regulates reward pathways, motor control, and emotional responses. It is produced from the amino acid tyrosine, and can be further converted into norepinephrine (NE) and epinephrine. Gut bacteria such as </w:t>
      </w:r>
      <w:r w:rsidRPr="00856ECB">
        <w:rPr>
          <w:rFonts w:asciiTheme="majorBidi" w:hAnsiTheme="majorBidi" w:cstheme="majorBidi"/>
          <w:i/>
          <w:iCs/>
          <w:color w:val="000000" w:themeColor="text1"/>
        </w:rPr>
        <w:t xml:space="preserve">Bacillus </w:t>
      </w:r>
      <w:r w:rsidRPr="00856ECB">
        <w:rPr>
          <w:rFonts w:asciiTheme="majorBidi" w:hAnsiTheme="majorBidi" w:cstheme="majorBidi"/>
          <w:color w:val="000000" w:themeColor="text1"/>
        </w:rPr>
        <w:t>and</w:t>
      </w:r>
      <w:r w:rsidRPr="00856ECB">
        <w:rPr>
          <w:rFonts w:asciiTheme="majorBidi" w:hAnsiTheme="majorBidi" w:cstheme="majorBidi"/>
          <w:i/>
          <w:iCs/>
          <w:color w:val="000000" w:themeColor="text1"/>
        </w:rPr>
        <w:t xml:space="preserve"> </w:t>
      </w:r>
      <w:proofErr w:type="spellStart"/>
      <w:r w:rsidRPr="00856ECB">
        <w:rPr>
          <w:rFonts w:asciiTheme="majorBidi" w:hAnsiTheme="majorBidi" w:cstheme="majorBidi"/>
          <w:i/>
          <w:iCs/>
          <w:color w:val="000000" w:themeColor="text1"/>
        </w:rPr>
        <w:t>Serratia</w:t>
      </w:r>
      <w:proofErr w:type="spellEnd"/>
      <w:r w:rsidRPr="00856ECB">
        <w:rPr>
          <w:rFonts w:asciiTheme="majorBidi" w:hAnsiTheme="majorBidi" w:cstheme="majorBidi"/>
          <w:color w:val="000000" w:themeColor="text1"/>
        </w:rPr>
        <w:t xml:space="preserve"> are known to produce dopamine, which may interfere with levodopa</w:t>
      </w:r>
      <w:r w:rsidR="00945027" w:rsidRPr="00856ECB">
        <w:rPr>
          <w:rStyle w:val="FootnoteReference"/>
          <w:rFonts w:asciiTheme="majorBidi" w:hAnsiTheme="majorBidi" w:cstheme="majorBidi"/>
          <w:color w:val="000000" w:themeColor="text1"/>
        </w:rPr>
        <w:footnoteReference w:id="2"/>
      </w:r>
      <w:r w:rsidRPr="00856ECB">
        <w:rPr>
          <w:rFonts w:asciiTheme="majorBidi" w:hAnsiTheme="majorBidi" w:cstheme="majorBidi"/>
          <w:color w:val="000000" w:themeColor="text1"/>
        </w:rPr>
        <w:t xml:space="preserve"> efficacy in Parkinson’s disease treatment. NE, in addition to its role in alertness and inflammation, has been shown to influence gut microbial composition. Notably, colonization of germ-free animals has been demonstrated to restore NE levels. Serotonin (5-HT), largely synthesized in the gastrointestinal tract, plays a central role in mood, digestion, and immune modulation. Its production is closely regulated by gut </w:t>
      </w:r>
      <w:proofErr w:type="spellStart"/>
      <w:r w:rsidRPr="00856ECB">
        <w:rPr>
          <w:rFonts w:asciiTheme="majorBidi" w:hAnsiTheme="majorBidi" w:cstheme="majorBidi"/>
          <w:color w:val="000000" w:themeColor="text1"/>
        </w:rPr>
        <w:t>microbiota</w:t>
      </w:r>
      <w:proofErr w:type="spellEnd"/>
      <w:r w:rsidRPr="00856ECB">
        <w:rPr>
          <w:rFonts w:asciiTheme="majorBidi" w:hAnsiTheme="majorBidi" w:cstheme="majorBidi"/>
          <w:color w:val="000000" w:themeColor="text1"/>
        </w:rPr>
        <w:t xml:space="preserve">. Lastly, histamine, produced by gut bacteria like </w:t>
      </w:r>
      <w:r w:rsidRPr="00856ECB">
        <w:rPr>
          <w:rFonts w:asciiTheme="majorBidi" w:hAnsiTheme="majorBidi" w:cstheme="majorBidi"/>
          <w:i/>
          <w:iCs/>
          <w:color w:val="000000" w:themeColor="text1"/>
        </w:rPr>
        <w:t xml:space="preserve">Lactobacillus </w:t>
      </w:r>
      <w:r w:rsidRPr="00856ECB">
        <w:rPr>
          <w:rFonts w:asciiTheme="majorBidi" w:hAnsiTheme="majorBidi" w:cstheme="majorBidi"/>
          <w:color w:val="000000" w:themeColor="text1"/>
        </w:rPr>
        <w:t xml:space="preserve">and </w:t>
      </w:r>
      <w:proofErr w:type="spellStart"/>
      <w:r w:rsidRPr="00856ECB">
        <w:rPr>
          <w:rFonts w:asciiTheme="majorBidi" w:hAnsiTheme="majorBidi" w:cstheme="majorBidi"/>
          <w:i/>
          <w:iCs/>
          <w:color w:val="000000" w:themeColor="text1"/>
        </w:rPr>
        <w:t>Klebsiella</w:t>
      </w:r>
      <w:proofErr w:type="spellEnd"/>
      <w:r w:rsidRPr="00856ECB">
        <w:rPr>
          <w:rFonts w:asciiTheme="majorBidi" w:hAnsiTheme="majorBidi" w:cstheme="majorBidi"/>
          <w:color w:val="000000" w:themeColor="text1"/>
        </w:rPr>
        <w:t>, influences arousal, appetite, and physiological homeostasis</w:t>
      </w:r>
      <w:r w:rsidR="001945D0" w:rsidRPr="00856ECB">
        <w:rPr>
          <w:rFonts w:asciiTheme="majorBidi" w:hAnsiTheme="majorBidi" w:cstheme="majorBidi"/>
          <w:color w:val="000000" w:themeColor="text1"/>
        </w:rPr>
        <w:t xml:space="preserve"> </w:t>
      </w:r>
      <w:r w:rsidR="00363DCC" w:rsidRPr="00856ECB">
        <w:rPr>
          <w:rFonts w:asciiTheme="majorBidi" w:hAnsiTheme="majorBidi" w:cstheme="majorBidi"/>
          <w:color w:val="000000" w:themeColor="text1"/>
        </w:rPr>
        <w:fldChar w:fldCharType="begin"/>
      </w:r>
      <w:r w:rsidR="00C27292" w:rsidRPr="00856ECB">
        <w:rPr>
          <w:rFonts w:asciiTheme="majorBidi" w:hAnsiTheme="majorBidi" w:cstheme="majorBidi"/>
          <w:color w:val="000000" w:themeColor="text1"/>
        </w:rPr>
        <w:instrText xml:space="preserve"> ADDIN EN.CITE &lt;EndNote&gt;&lt;Cite&gt;&lt;Author&gt;Chen&lt;/Author&gt;&lt;Year&gt;2021&lt;/Year&gt;&lt;RecNum&gt;295&lt;/RecNum&gt;&lt;DisplayText&gt;(22)&lt;/DisplayText&gt;&lt;record&gt;&lt;rec-number&gt;295&lt;/rec-number&gt;&lt;foreign-keys&gt;&lt;key app="EN" db-id="exwvr9fd40te9ner0f4ptrrorttf9svzawdd" timestamp="1751869154"&gt;295&lt;/key&gt;&lt;/foreign-keys&gt;&lt;ref-type name="Journal Article"&gt;17&lt;/ref-type&gt;&lt;contributors&gt;&lt;authors&gt;&lt;author&gt;Chen, Yijing&lt;/author&gt;&lt;author&gt;Xu, Jinying&lt;/author&gt;&lt;author&gt;Chen, Yu&lt;/author&gt;&lt;/authors&gt;&lt;/contributors&gt;&lt;titles&gt;&lt;title&gt;Regulation of neurotransmitters by the gut microbiota and effects on cognition in neurological disorders&lt;/title&gt;&lt;secondary-title&gt;Nutrients&lt;/secondary-title&gt;&lt;/titles&gt;&lt;periodical&gt;&lt;full-title&gt;Nutrients&lt;/full-title&gt;&lt;/periodical&gt;&lt;pages&gt;2099&lt;/pages&gt;&lt;volume&gt;13&lt;/volume&gt;&lt;number&gt;6&lt;/number&gt;&lt;dates&gt;&lt;year&gt;2021&lt;/year&gt;&lt;/dates&gt;&lt;isbn&gt;2072-6643&lt;/isbn&gt;&lt;urls&gt;&lt;/urls&gt;&lt;/record&gt;&lt;/Cite&gt;&lt;/EndNote&gt;</w:instrText>
      </w:r>
      <w:r w:rsidR="00363DCC" w:rsidRPr="00856ECB">
        <w:rPr>
          <w:rFonts w:asciiTheme="majorBidi" w:hAnsiTheme="majorBidi" w:cstheme="majorBidi"/>
          <w:color w:val="000000" w:themeColor="text1"/>
        </w:rPr>
        <w:fldChar w:fldCharType="separate"/>
      </w:r>
      <w:r w:rsidR="00C27292" w:rsidRPr="00856ECB">
        <w:rPr>
          <w:rFonts w:asciiTheme="majorBidi" w:hAnsiTheme="majorBidi" w:cstheme="majorBidi"/>
          <w:noProof/>
          <w:color w:val="000000" w:themeColor="text1"/>
        </w:rPr>
        <w:t>(22)</w:t>
      </w:r>
      <w:r w:rsidR="00363DCC" w:rsidRPr="00856ECB">
        <w:rPr>
          <w:rFonts w:asciiTheme="majorBidi" w:hAnsiTheme="majorBidi" w:cstheme="majorBidi"/>
          <w:color w:val="000000" w:themeColor="text1"/>
        </w:rPr>
        <w:fldChar w:fldCharType="end"/>
      </w:r>
      <w:r w:rsidR="00363DCC" w:rsidRPr="00856ECB">
        <w:rPr>
          <w:rFonts w:asciiTheme="majorBidi" w:hAnsiTheme="majorBidi" w:cstheme="majorBidi"/>
          <w:color w:val="000000" w:themeColor="text1"/>
        </w:rPr>
        <w:t>.</w:t>
      </w:r>
      <w:r w:rsidR="00262A6F" w:rsidRPr="00856ECB">
        <w:rPr>
          <w:rFonts w:asciiTheme="majorBidi" w:hAnsiTheme="majorBidi" w:cstheme="majorBidi"/>
          <w:color w:val="000000" w:themeColor="text1"/>
        </w:rPr>
        <w:t xml:space="preserve"> </w:t>
      </w:r>
    </w:p>
    <w:p w14:paraId="47B0BDBE" w14:textId="725296BC" w:rsidR="00DD7170" w:rsidRPr="00856ECB" w:rsidRDefault="002D6F38" w:rsidP="009A0C39">
      <w:pPr>
        <w:pStyle w:val="NormalWeb"/>
        <w:jc w:val="both"/>
        <w:rPr>
          <w:rFonts w:asciiTheme="majorBidi" w:hAnsiTheme="majorBidi" w:cstheme="majorBidi"/>
          <w:color w:val="0070C0"/>
        </w:rPr>
      </w:pPr>
      <w:r w:rsidRPr="00856ECB">
        <w:rPr>
          <w:rFonts w:asciiTheme="majorBidi" w:hAnsiTheme="majorBidi" w:cstheme="majorBidi"/>
        </w:rPr>
        <w:t xml:space="preserve">Aromatic amino acids (AAAs) such as phenylalanine, tyrosine, and tryptophan serve as microbial precursors to a variety of </w:t>
      </w:r>
      <w:proofErr w:type="spellStart"/>
      <w:r w:rsidRPr="00856ECB">
        <w:rPr>
          <w:rFonts w:asciiTheme="majorBidi" w:hAnsiTheme="majorBidi" w:cstheme="majorBidi"/>
        </w:rPr>
        <w:t>neuroactive</w:t>
      </w:r>
      <w:proofErr w:type="spellEnd"/>
      <w:r w:rsidRPr="00856ECB">
        <w:rPr>
          <w:rFonts w:asciiTheme="majorBidi" w:hAnsiTheme="majorBidi" w:cstheme="majorBidi"/>
        </w:rPr>
        <w:t xml:space="preserve"> compounds. Phenylalanine is a substrate for dopamine, norepinephrine, epinephrine, glutamate, aspartate, and glycine synthesis. Tryptophan metabolism results in the production of serotonin, niacin (vitamin B3), NAD(P)+, and </w:t>
      </w:r>
      <w:proofErr w:type="spellStart"/>
      <w:r w:rsidRPr="00856ECB">
        <w:rPr>
          <w:rFonts w:asciiTheme="majorBidi" w:hAnsiTheme="majorBidi" w:cstheme="majorBidi"/>
        </w:rPr>
        <w:t>kynurenine</w:t>
      </w:r>
      <w:proofErr w:type="spellEnd"/>
      <w:r w:rsidRPr="00856ECB">
        <w:rPr>
          <w:rFonts w:asciiTheme="majorBidi" w:hAnsiTheme="majorBidi" w:cstheme="majorBidi"/>
        </w:rPr>
        <w:t xml:space="preserve"> pathway metabolites like </w:t>
      </w:r>
      <w:proofErr w:type="spellStart"/>
      <w:r w:rsidRPr="00856ECB">
        <w:rPr>
          <w:rFonts w:asciiTheme="majorBidi" w:hAnsiTheme="majorBidi" w:cstheme="majorBidi"/>
        </w:rPr>
        <w:t>indole</w:t>
      </w:r>
      <w:proofErr w:type="spellEnd"/>
      <w:r w:rsidRPr="00856ECB">
        <w:rPr>
          <w:rFonts w:asciiTheme="majorBidi" w:hAnsiTheme="majorBidi" w:cstheme="majorBidi"/>
        </w:rPr>
        <w:t xml:space="preserve">, which are implicated in immune regulation and psychiatric disorders including depression and schizophrenia </w:t>
      </w:r>
      <w:r w:rsidR="00B934A9" w:rsidRPr="00856ECB">
        <w:rPr>
          <w:rFonts w:asciiTheme="majorBidi" w:hAnsiTheme="majorBidi" w:cstheme="majorBidi"/>
        </w:rPr>
        <w:fldChar w:fldCharType="begin"/>
      </w:r>
      <w:r w:rsidR="00C27292" w:rsidRPr="00856ECB">
        <w:rPr>
          <w:rFonts w:asciiTheme="majorBidi" w:hAnsiTheme="majorBidi" w:cstheme="majorBidi"/>
        </w:rPr>
        <w:instrText xml:space="preserve"> ADDIN EN.CITE &lt;EndNote&gt;&lt;Cite&gt;&lt;Author&gt;Parthasarathy&lt;/Author&gt;&lt;Year&gt;2018&lt;/Year&gt;&lt;RecNum&gt;340&lt;/RecNum&gt;&lt;DisplayText&gt;(23, 24)&lt;/DisplayText&gt;&lt;record&gt;&lt;rec-number&gt;340&lt;/rec-number&gt;&lt;foreign-keys&gt;&lt;key app="EN" db-id="exwvr9fd40te9ner0f4ptrrorttf9svzawdd" timestamp="1752130985"&gt;340&lt;/key&gt;&lt;/foreign-keys&gt;&lt;ref-type name="Journal Article"&gt;17&lt;/ref-type&gt;&lt;contributors&gt;&lt;authors&gt;&lt;author&gt;Parthasarathy, Anutthaman&lt;/author&gt;&lt;author&gt;Cross, Penelope J&lt;/author&gt;&lt;author&gt;Dobson, Renwick CJ&lt;/author&gt;&lt;author&gt;Adams, Lily E&lt;/author&gt;&lt;author&gt;Savka, Michael A&lt;/author&gt;&lt;author&gt;Hudson, André O&lt;/author&gt;&lt;/authors&gt;&lt;/contributors&gt;&lt;titles&gt;&lt;title&gt;A three-ring circus: metabolism of the three proteogenic aromatic amino acids and their role in the health of plants and animals&lt;/title&gt;&lt;secondary-title&gt;Frontiers in molecular biosciences&lt;/secondary-title&gt;&lt;/titles&gt;&lt;periodical&gt;&lt;full-title&gt;Frontiers in molecular biosciences&lt;/full-title&gt;&lt;/periodical&gt;&lt;pages&gt;29&lt;/pages&gt;&lt;volume&gt;5&lt;/volume&gt;&lt;dates&gt;&lt;year&gt;2018&lt;/year&gt;&lt;/dates&gt;&lt;isbn&gt;2296-889X&lt;/isbn&gt;&lt;urls&gt;&lt;/urls&gt;&lt;/record&gt;&lt;/Cite&gt;&lt;Cite&gt;&lt;Author&gt;Swer&lt;/Author&gt;&lt;Year&gt;2023&lt;/Year&gt;&lt;RecNum&gt;341&lt;/RecNum&gt;&lt;record&gt;&lt;rec-number&gt;341&lt;/rec-number&gt;&lt;foreign-keys&gt;&lt;key app="EN" db-id="exwvr9fd40te9ner0f4ptrrorttf9svzawdd" timestamp="1752131069"&gt;341&lt;/key&gt;&lt;/foreign-keys&gt;&lt;ref-type name="Journal Article"&gt;17&lt;/ref-type&gt;&lt;contributors&gt;&lt;authors&gt;&lt;author&gt;Swer, Nicole Mary&lt;/author&gt;&lt;author&gt;Venkidesh, BS&lt;/author&gt;&lt;author&gt;Murali, Thokur Sreepathy&lt;/author&gt;&lt;author&gt;Mumbrekar, Kamalesh Dattaram&lt;/author&gt;&lt;/authors&gt;&lt;/contributors&gt;&lt;titles&gt;&lt;title&gt;Gut microbiota-derived metabolites and their importance in neurological disorders&lt;/title&gt;&lt;secondary-title&gt;Molecular Biology Reports&lt;/secondary-title&gt;&lt;/titles&gt;&lt;periodical&gt;&lt;full-title&gt;Molecular Biology Reports&lt;/full-title&gt;&lt;/periodical&gt;&lt;pages&gt;1663-1675&lt;/pages&gt;&lt;volume&gt;50&lt;/volume&gt;&lt;number&gt;2&lt;/number&gt;&lt;dates&gt;&lt;year&gt;2023&lt;/year&gt;&lt;/dates&gt;&lt;isbn&gt;0301-4851&lt;/isbn&gt;&lt;urls&gt;&lt;/urls&gt;&lt;/record&gt;&lt;/Cite&gt;&lt;/EndNote&gt;</w:instrText>
      </w:r>
      <w:r w:rsidR="00B934A9" w:rsidRPr="00856ECB">
        <w:rPr>
          <w:rFonts w:asciiTheme="majorBidi" w:hAnsiTheme="majorBidi" w:cstheme="majorBidi"/>
        </w:rPr>
        <w:fldChar w:fldCharType="separate"/>
      </w:r>
      <w:r w:rsidR="00C27292" w:rsidRPr="00856ECB">
        <w:rPr>
          <w:rFonts w:asciiTheme="majorBidi" w:hAnsiTheme="majorBidi" w:cstheme="majorBidi"/>
          <w:noProof/>
        </w:rPr>
        <w:t>(23, 24)</w:t>
      </w:r>
      <w:r w:rsidR="00B934A9" w:rsidRPr="00856ECB">
        <w:rPr>
          <w:rFonts w:asciiTheme="majorBidi" w:hAnsiTheme="majorBidi" w:cstheme="majorBidi"/>
        </w:rPr>
        <w:fldChar w:fldCharType="end"/>
      </w:r>
      <w:r w:rsidR="00B934A9" w:rsidRPr="00856ECB">
        <w:rPr>
          <w:rFonts w:asciiTheme="majorBidi" w:hAnsiTheme="majorBidi" w:cstheme="majorBidi"/>
        </w:rPr>
        <w:t>.</w:t>
      </w:r>
      <w:r w:rsidR="0046075E" w:rsidRPr="00856ECB">
        <w:rPr>
          <w:rFonts w:asciiTheme="majorBidi" w:hAnsiTheme="majorBidi" w:cstheme="majorBidi"/>
        </w:rPr>
        <w:t xml:space="preserve"> </w:t>
      </w:r>
      <w:r w:rsidRPr="00856ECB">
        <w:rPr>
          <w:rFonts w:asciiTheme="majorBidi" w:hAnsiTheme="majorBidi" w:cstheme="majorBidi"/>
        </w:rPr>
        <w:t xml:space="preserve">Bacterial genera such as </w:t>
      </w:r>
      <w:r w:rsidRPr="00856ECB">
        <w:rPr>
          <w:rFonts w:asciiTheme="majorBidi" w:hAnsiTheme="majorBidi" w:cstheme="majorBidi"/>
          <w:i/>
          <w:iCs/>
        </w:rPr>
        <w:t xml:space="preserve">Escherichia, Lactobacillus, </w:t>
      </w:r>
      <w:r w:rsidRPr="00856ECB">
        <w:rPr>
          <w:rFonts w:asciiTheme="majorBidi" w:hAnsiTheme="majorBidi" w:cstheme="majorBidi"/>
        </w:rPr>
        <w:t>and</w:t>
      </w:r>
      <w:r w:rsidRPr="00856ECB">
        <w:rPr>
          <w:rFonts w:asciiTheme="majorBidi" w:hAnsiTheme="majorBidi" w:cstheme="majorBidi"/>
          <w:i/>
          <w:iCs/>
        </w:rPr>
        <w:t xml:space="preserve"> </w:t>
      </w:r>
      <w:proofErr w:type="spellStart"/>
      <w:r w:rsidRPr="00856ECB">
        <w:rPr>
          <w:rFonts w:asciiTheme="majorBidi" w:hAnsiTheme="majorBidi" w:cstheme="majorBidi"/>
          <w:i/>
          <w:iCs/>
        </w:rPr>
        <w:t>Bifidobacterium</w:t>
      </w:r>
      <w:proofErr w:type="spellEnd"/>
      <w:r w:rsidRPr="00856ECB">
        <w:rPr>
          <w:rFonts w:asciiTheme="majorBidi" w:hAnsiTheme="majorBidi" w:cstheme="majorBidi"/>
        </w:rPr>
        <w:t xml:space="preserve"> are actively involved in AAA metabolism </w:t>
      </w:r>
      <w:r w:rsidR="00D53C84" w:rsidRPr="00856ECB">
        <w:rPr>
          <w:rFonts w:asciiTheme="majorBidi" w:hAnsiTheme="majorBidi" w:cstheme="majorBidi"/>
        </w:rPr>
        <w:fldChar w:fldCharType="begin"/>
      </w:r>
      <w:r w:rsidR="00D53C84" w:rsidRPr="00856ECB">
        <w:rPr>
          <w:rFonts w:asciiTheme="majorBidi" w:hAnsiTheme="majorBidi" w:cstheme="majorBidi"/>
        </w:rPr>
        <w:instrText xml:space="preserve"> ADDIN EN.CITE &lt;EndNote&gt;&lt;Cite&gt;&lt;Author&gt;Lee&lt;/Author&gt;&lt;Year&gt;2010&lt;/Year&gt;&lt;RecNum&gt;364&lt;/RecNum&gt;&lt;DisplayText&gt;(25)&lt;/DisplayText&gt;&lt;record&gt;&lt;rec-number&gt;364&lt;/rec-number&gt;&lt;foreign-keys&gt;&lt;key app="EN" db-id="exwvr9fd40te9ner0f4ptrrorttf9svzawdd" timestamp="1753286275"&gt;364&lt;/key&gt;&lt;/foreign-keys&gt;&lt;ref-type name="Journal Article"&gt;17&lt;/ref-type&gt;&lt;contributors&gt;&lt;authors&gt;&lt;author&gt;Lee, Jin-Hyung&lt;/author&gt;&lt;author&gt;Lee, Jintae&lt;/author&gt;&lt;/authors&gt;&lt;/contributors&gt;&lt;titles&gt;&lt;title&gt;Indole as an intercellular signal in microbial communities&lt;/title&gt;&lt;secondary-title&gt;FEMS microbiology reviews&lt;/secondary-title&gt;&lt;/titles&gt;&lt;periodical&gt;&lt;full-title&gt;FEMS microbiology reviews&lt;/full-title&gt;&lt;/periodical&gt;&lt;pages&gt;426-444&lt;/pages&gt;&lt;volume&gt;34&lt;/volume&gt;&lt;number&gt;4&lt;/number&gt;&lt;dates&gt;&lt;year&gt;2010&lt;/year&gt;&lt;/dates&gt;&lt;isbn&gt;1574-6976&lt;/isbn&gt;&lt;urls&gt;&lt;/urls&gt;&lt;/record&gt;&lt;/Cite&gt;&lt;/EndNote&gt;</w:instrText>
      </w:r>
      <w:r w:rsidR="00D53C84" w:rsidRPr="00856ECB">
        <w:rPr>
          <w:rFonts w:asciiTheme="majorBidi" w:hAnsiTheme="majorBidi" w:cstheme="majorBidi"/>
        </w:rPr>
        <w:fldChar w:fldCharType="separate"/>
      </w:r>
      <w:r w:rsidR="00D53C84" w:rsidRPr="00856ECB">
        <w:rPr>
          <w:rFonts w:asciiTheme="majorBidi" w:hAnsiTheme="majorBidi" w:cstheme="majorBidi"/>
          <w:noProof/>
        </w:rPr>
        <w:t>(25)</w:t>
      </w:r>
      <w:r w:rsidR="00D53C84" w:rsidRPr="00856ECB">
        <w:rPr>
          <w:rFonts w:asciiTheme="majorBidi" w:hAnsiTheme="majorBidi" w:cstheme="majorBidi"/>
        </w:rPr>
        <w:fldChar w:fldCharType="end"/>
      </w:r>
      <w:r w:rsidR="0046075E" w:rsidRPr="00856ECB">
        <w:rPr>
          <w:rFonts w:asciiTheme="majorBidi" w:hAnsiTheme="majorBidi" w:cstheme="majorBidi"/>
        </w:rPr>
        <w:t>.</w:t>
      </w:r>
    </w:p>
    <w:p w14:paraId="533421BD" w14:textId="27F51563" w:rsidR="00DD7170" w:rsidRPr="00856ECB" w:rsidRDefault="002D6F38" w:rsidP="009A0C39">
      <w:pPr>
        <w:pStyle w:val="NormalWeb"/>
        <w:jc w:val="both"/>
        <w:rPr>
          <w:rFonts w:asciiTheme="majorBidi" w:hAnsiTheme="majorBidi" w:cstheme="majorBidi"/>
        </w:rPr>
      </w:pPr>
      <w:proofErr w:type="spellStart"/>
      <w:r w:rsidRPr="00856ECB">
        <w:rPr>
          <w:rFonts w:asciiTheme="majorBidi" w:hAnsiTheme="majorBidi" w:cstheme="majorBidi"/>
        </w:rPr>
        <w:t>Trimethylamine</w:t>
      </w:r>
      <w:proofErr w:type="spellEnd"/>
      <w:r w:rsidRPr="00856ECB">
        <w:rPr>
          <w:rFonts w:asciiTheme="majorBidi" w:hAnsiTheme="majorBidi" w:cstheme="majorBidi"/>
        </w:rPr>
        <w:t xml:space="preserve"> N-oxide (TMAO), another gut-derived metabolite, has been linked to systemic and </w:t>
      </w:r>
      <w:proofErr w:type="spellStart"/>
      <w:r w:rsidRPr="00856ECB">
        <w:rPr>
          <w:rFonts w:asciiTheme="majorBidi" w:hAnsiTheme="majorBidi" w:cstheme="majorBidi"/>
        </w:rPr>
        <w:t>neuroinflammation</w:t>
      </w:r>
      <w:proofErr w:type="spellEnd"/>
      <w:r w:rsidRPr="00856ECB">
        <w:rPr>
          <w:rFonts w:asciiTheme="majorBidi" w:hAnsiTheme="majorBidi" w:cstheme="majorBidi"/>
        </w:rPr>
        <w:t>, particularly in the aging population. TMAO is formed when gut microbes convert dietary nutrients such as choline and L-</w:t>
      </w:r>
      <w:proofErr w:type="spellStart"/>
      <w:r w:rsidRPr="00856ECB">
        <w:rPr>
          <w:rFonts w:asciiTheme="majorBidi" w:hAnsiTheme="majorBidi" w:cstheme="majorBidi"/>
        </w:rPr>
        <w:t>carnitine</w:t>
      </w:r>
      <w:proofErr w:type="spellEnd"/>
      <w:r w:rsidRPr="00856ECB">
        <w:rPr>
          <w:rFonts w:asciiTheme="majorBidi" w:hAnsiTheme="majorBidi" w:cstheme="majorBidi"/>
        </w:rPr>
        <w:t xml:space="preserve"> into </w:t>
      </w:r>
      <w:proofErr w:type="spellStart"/>
      <w:r w:rsidRPr="00856ECB">
        <w:rPr>
          <w:rFonts w:asciiTheme="majorBidi" w:hAnsiTheme="majorBidi" w:cstheme="majorBidi"/>
        </w:rPr>
        <w:t>trimethylamine</w:t>
      </w:r>
      <w:proofErr w:type="spellEnd"/>
      <w:r w:rsidRPr="00856ECB">
        <w:rPr>
          <w:rFonts w:asciiTheme="majorBidi" w:hAnsiTheme="majorBidi" w:cstheme="majorBidi"/>
        </w:rPr>
        <w:t xml:space="preserve"> (TMA), which is then oxidized in the </w:t>
      </w:r>
      <w:proofErr w:type="gramStart"/>
      <w:r w:rsidRPr="00856ECB">
        <w:rPr>
          <w:rFonts w:asciiTheme="majorBidi" w:hAnsiTheme="majorBidi" w:cstheme="majorBidi"/>
        </w:rPr>
        <w:t>liver</w:t>
      </w:r>
      <w:proofErr w:type="gramEnd"/>
      <w:r w:rsidRPr="00856ECB">
        <w:rPr>
          <w:rFonts w:asciiTheme="majorBidi" w:hAnsiTheme="majorBidi" w:cstheme="majorBidi"/>
        </w:rPr>
        <w:t xml:space="preserve"> by </w:t>
      </w:r>
      <w:proofErr w:type="spellStart"/>
      <w:r w:rsidRPr="00856ECB">
        <w:rPr>
          <w:rFonts w:asciiTheme="majorBidi" w:hAnsiTheme="majorBidi" w:cstheme="majorBidi"/>
        </w:rPr>
        <w:t>flavin</w:t>
      </w:r>
      <w:proofErr w:type="spellEnd"/>
      <w:r w:rsidRPr="00856ECB">
        <w:rPr>
          <w:rFonts w:asciiTheme="majorBidi" w:hAnsiTheme="majorBidi" w:cstheme="majorBidi"/>
        </w:rPr>
        <w:t xml:space="preserve">-containing </w:t>
      </w:r>
      <w:proofErr w:type="spellStart"/>
      <w:r w:rsidRPr="00856ECB">
        <w:rPr>
          <w:rFonts w:asciiTheme="majorBidi" w:hAnsiTheme="majorBidi" w:cstheme="majorBidi"/>
        </w:rPr>
        <w:t>monooxygenase</w:t>
      </w:r>
      <w:proofErr w:type="spellEnd"/>
      <w:r w:rsidRPr="00856ECB">
        <w:rPr>
          <w:rFonts w:asciiTheme="majorBidi" w:hAnsiTheme="majorBidi" w:cstheme="majorBidi"/>
        </w:rPr>
        <w:t xml:space="preserve"> 3 (FMO3). Elevated TMAO levels have been associated with inflammatory conditions and cardiovascular risks </w:t>
      </w:r>
      <w:r w:rsidR="00B934A9" w:rsidRPr="00856ECB">
        <w:rPr>
          <w:rFonts w:asciiTheme="majorBidi" w:hAnsiTheme="majorBidi" w:cstheme="majorBidi"/>
        </w:rPr>
        <w:fldChar w:fldCharType="begin"/>
      </w:r>
      <w:r w:rsidR="00D53C84" w:rsidRPr="00856ECB">
        <w:rPr>
          <w:rFonts w:asciiTheme="majorBidi" w:hAnsiTheme="majorBidi" w:cstheme="majorBidi"/>
        </w:rPr>
        <w:instrText xml:space="preserve"> ADDIN EN.CITE &lt;EndNote&gt;&lt;Cite&gt;&lt;Author&gt;Wang&lt;/Author&gt;&lt;Year&gt;2011&lt;/Year&gt;&lt;RecNum&gt;342&lt;/RecNum&gt;&lt;DisplayText&gt;(26)&lt;/DisplayText&gt;&lt;record&gt;&lt;rec-number&gt;342&lt;/rec-number&gt;&lt;foreign-keys&gt;&lt;key app="EN" db-id="exwvr9fd40te9ner0f4ptrrorttf9svzawdd" timestamp="1752131217"&gt;342&lt;/key&gt;&lt;/foreign-keys&gt;&lt;ref-type name="Journal Article"&gt;17&lt;/ref-type&gt;&lt;contributors&gt;&lt;authors&gt;&lt;author&gt;Wang, Zeneng&lt;/author&gt;&lt;author&gt;Klipfell, Elizabeth&lt;/author&gt;&lt;author&gt;Bennett, Brian J&lt;/author&gt;&lt;author&gt;Koeth, Robert&lt;/author&gt;&lt;author&gt;Levison, Bruce S&lt;/author&gt;&lt;author&gt;DuGar, Brandon&lt;/author&gt;&lt;author&gt;Feldstein, Ariel E&lt;/author&gt;&lt;author&gt;Britt, Earl B&lt;/author&gt;&lt;author&gt;Fu, Xiaoming&lt;/author&gt;&lt;author&gt;Chung, Yoon-Mi&lt;/author&gt;&lt;/authors&gt;&lt;/contributors&gt;&lt;titles&gt;&lt;title&gt;Gut flora metabolism of phosphatidylcholine promotes cardiovascular disease&lt;/title&gt;&lt;secondary-title&gt;nature&lt;/secondary-title&gt;&lt;/titles&gt;&lt;periodical&gt;&lt;full-title&gt;Nature&lt;/full-title&gt;&lt;/periodical&gt;&lt;pages&gt;57-63&lt;/pages&gt;&lt;volume&gt;472&lt;/volume&gt;&lt;number&gt;7341&lt;/number&gt;&lt;dates&gt;&lt;year&gt;2011&lt;/year&gt;&lt;/dates&gt;&lt;isbn&gt;0028-0836&lt;/isbn&gt;&lt;urls&gt;&lt;/urls&gt;&lt;/record&gt;&lt;/Cite&gt;&lt;/EndNote&gt;</w:instrText>
      </w:r>
      <w:r w:rsidR="00B934A9" w:rsidRPr="00856ECB">
        <w:rPr>
          <w:rFonts w:asciiTheme="majorBidi" w:hAnsiTheme="majorBidi" w:cstheme="majorBidi"/>
        </w:rPr>
        <w:fldChar w:fldCharType="separate"/>
      </w:r>
      <w:r w:rsidR="00D53C84" w:rsidRPr="00856ECB">
        <w:rPr>
          <w:rFonts w:asciiTheme="majorBidi" w:hAnsiTheme="majorBidi" w:cstheme="majorBidi"/>
          <w:noProof/>
        </w:rPr>
        <w:t>(26)</w:t>
      </w:r>
      <w:r w:rsidR="00B934A9" w:rsidRPr="00856ECB">
        <w:rPr>
          <w:rFonts w:asciiTheme="majorBidi" w:hAnsiTheme="majorBidi" w:cstheme="majorBidi"/>
        </w:rPr>
        <w:fldChar w:fldCharType="end"/>
      </w:r>
      <w:r w:rsidR="00B934A9" w:rsidRPr="00856ECB">
        <w:rPr>
          <w:rFonts w:asciiTheme="majorBidi" w:hAnsiTheme="majorBidi" w:cstheme="majorBidi"/>
        </w:rPr>
        <w:t xml:space="preserve"> </w:t>
      </w:r>
      <w:r w:rsidR="00D3780F" w:rsidRPr="00856ECB">
        <w:rPr>
          <w:rFonts w:asciiTheme="majorBidi" w:hAnsiTheme="majorBidi" w:cstheme="majorBidi"/>
        </w:rPr>
        <w:t>.</w:t>
      </w:r>
      <w:r w:rsidRPr="00856ECB">
        <w:rPr>
          <w:rFonts w:asciiTheme="majorBidi" w:hAnsiTheme="majorBidi" w:cstheme="majorBidi"/>
        </w:rPr>
        <w:t xml:space="preserve"> </w:t>
      </w:r>
      <w:r w:rsidRPr="00856ECB">
        <w:rPr>
          <w:rFonts w:asciiTheme="majorBidi" w:hAnsiTheme="majorBidi" w:cstheme="majorBidi"/>
        </w:rPr>
        <w:lastRenderedPageBreak/>
        <w:t xml:space="preserve">Furthermore, studies have shown that exposure of human astrocytes to TMAO results in morphological changes and increased expression of activation markers, suggesting a direct role in astrocyte-mediated </w:t>
      </w:r>
      <w:proofErr w:type="spellStart"/>
      <w:r w:rsidRPr="00856ECB">
        <w:rPr>
          <w:rFonts w:asciiTheme="majorBidi" w:hAnsiTheme="majorBidi" w:cstheme="majorBidi"/>
        </w:rPr>
        <w:t>neuroinflammation</w:t>
      </w:r>
      <w:proofErr w:type="spellEnd"/>
      <w:r w:rsidRPr="00856ECB">
        <w:rPr>
          <w:rFonts w:asciiTheme="majorBidi" w:hAnsiTheme="majorBidi" w:cstheme="majorBidi"/>
        </w:rPr>
        <w:t xml:space="preserve">. These findings underscore the potential of TMAO as a biomarker and therapeutic target for age-related cognitive decline </w:t>
      </w:r>
      <w:r w:rsidR="00B934A9" w:rsidRPr="00856ECB">
        <w:rPr>
          <w:rFonts w:asciiTheme="majorBidi" w:hAnsiTheme="majorBidi" w:cstheme="majorBidi"/>
        </w:rPr>
        <w:t xml:space="preserve"> </w:t>
      </w:r>
      <w:r w:rsidR="00B934A9" w:rsidRPr="00856ECB">
        <w:rPr>
          <w:rFonts w:asciiTheme="majorBidi" w:hAnsiTheme="majorBidi" w:cstheme="majorBidi"/>
        </w:rPr>
        <w:fldChar w:fldCharType="begin"/>
      </w:r>
      <w:r w:rsidR="00D53C84" w:rsidRPr="00856ECB">
        <w:rPr>
          <w:rFonts w:asciiTheme="majorBidi" w:hAnsiTheme="majorBidi" w:cstheme="majorBidi"/>
        </w:rPr>
        <w:instrText xml:space="preserve"> ADDIN EN.CITE &lt;EndNote&gt;&lt;Cite&gt;&lt;Author&gt;Brunt&lt;/Author&gt;&lt;Year&gt;2021&lt;/Year&gt;&lt;RecNum&gt;343&lt;/RecNum&gt;&lt;DisplayText&gt;(27)&lt;/DisplayText&gt;&lt;record&gt;&lt;rec-number&gt;343&lt;/rec-number&gt;&lt;foreign-keys&gt;&lt;key app="EN" db-id="exwvr9fd40te9ner0f4ptrrorttf9svzawdd" timestamp="1752131341"&gt;343&lt;/key&gt;&lt;/foreign-keys&gt;&lt;ref-type name="Journal Article"&gt;17&lt;/ref-type&gt;&lt;contributors&gt;&lt;authors&gt;&lt;author&gt;Brunt, Vienna E&lt;/author&gt;&lt;author&gt;LaRocca, Thomas J&lt;/author&gt;&lt;author&gt;Bazzoni, Amy E&lt;/author&gt;&lt;author&gt;Sapinsley, Zachary J&lt;/author&gt;&lt;author&gt;Miyamoto-Ditmon, Jill&lt;/author&gt;&lt;author&gt;Gioscia-Ryan, Rachel A&lt;/author&gt;&lt;author&gt;Neilson, Andrew P&lt;/author&gt;&lt;author&gt;Link, Christopher D&lt;/author&gt;&lt;author&gt;Seals, Douglas R&lt;/author&gt;&lt;/authors&gt;&lt;/contributors&gt;&lt;titles&gt;&lt;title&gt;The gut microbiome–derived metabolite trimethylamine N-oxide modulates neuroinflammation and cognitive function with aging&lt;/title&gt;&lt;secondary-title&gt;GeroScience&lt;/secondary-title&gt;&lt;/titles&gt;&lt;periodical&gt;&lt;full-title&gt;GeroScience&lt;/full-title&gt;&lt;/periodical&gt;&lt;pages&gt;377-394&lt;/pages&gt;&lt;volume&gt;43&lt;/volume&gt;&lt;number&gt;1&lt;/number&gt;&lt;dates&gt;&lt;year&gt;2021&lt;/year&gt;&lt;/dates&gt;&lt;isbn&gt;2509-2715&lt;/isbn&gt;&lt;urls&gt;&lt;/urls&gt;&lt;/record&gt;&lt;/Cite&gt;&lt;/EndNote&gt;</w:instrText>
      </w:r>
      <w:r w:rsidR="00B934A9" w:rsidRPr="00856ECB">
        <w:rPr>
          <w:rFonts w:asciiTheme="majorBidi" w:hAnsiTheme="majorBidi" w:cstheme="majorBidi"/>
        </w:rPr>
        <w:fldChar w:fldCharType="separate"/>
      </w:r>
      <w:r w:rsidR="00D53C84" w:rsidRPr="00856ECB">
        <w:rPr>
          <w:rFonts w:asciiTheme="majorBidi" w:hAnsiTheme="majorBidi" w:cstheme="majorBidi"/>
          <w:noProof/>
        </w:rPr>
        <w:t>(27)</w:t>
      </w:r>
      <w:r w:rsidR="00B934A9" w:rsidRPr="00856ECB">
        <w:rPr>
          <w:rFonts w:asciiTheme="majorBidi" w:hAnsiTheme="majorBidi" w:cstheme="majorBidi"/>
        </w:rPr>
        <w:fldChar w:fldCharType="end"/>
      </w:r>
      <w:r w:rsidR="00B934A9" w:rsidRPr="00856ECB">
        <w:rPr>
          <w:rFonts w:asciiTheme="majorBidi" w:hAnsiTheme="majorBidi" w:cstheme="majorBidi"/>
        </w:rPr>
        <w:t>.</w:t>
      </w:r>
    </w:p>
    <w:p w14:paraId="3B453986" w14:textId="77777777" w:rsidR="008B5AB2" w:rsidRDefault="00DC16BA" w:rsidP="008B5AB2">
      <w:pPr>
        <w:pStyle w:val="Heading2"/>
        <w:jc w:val="both"/>
        <w:rPr>
          <w:rFonts w:asciiTheme="majorBidi" w:hAnsiTheme="majorBidi"/>
          <w:sz w:val="24"/>
          <w:szCs w:val="24"/>
        </w:rPr>
      </w:pPr>
      <w:r w:rsidRPr="00856ECB">
        <w:rPr>
          <w:rFonts w:asciiTheme="majorBidi" w:hAnsiTheme="majorBidi"/>
          <w:sz w:val="24"/>
          <w:szCs w:val="24"/>
        </w:rPr>
        <w:t>P</w:t>
      </w:r>
      <w:r w:rsidR="00677909" w:rsidRPr="00856ECB">
        <w:rPr>
          <w:rFonts w:asciiTheme="majorBidi" w:hAnsiTheme="majorBidi"/>
          <w:sz w:val="24"/>
          <w:szCs w:val="24"/>
        </w:rPr>
        <w:t>robiotics</w:t>
      </w:r>
    </w:p>
    <w:p w14:paraId="13D73B8F" w14:textId="69BC97E7" w:rsidR="0068107A" w:rsidRPr="008B5AB2" w:rsidRDefault="0068107A" w:rsidP="008B5AB2">
      <w:pPr>
        <w:pStyle w:val="Heading2"/>
        <w:jc w:val="both"/>
        <w:rPr>
          <w:rFonts w:asciiTheme="majorBidi" w:hAnsiTheme="majorBidi"/>
          <w:i/>
          <w:iCs/>
          <w:sz w:val="24"/>
          <w:szCs w:val="24"/>
        </w:rPr>
      </w:pPr>
      <w:r w:rsidRPr="008B5AB2">
        <w:rPr>
          <w:rFonts w:asciiTheme="majorBidi" w:hAnsiTheme="majorBidi"/>
          <w:i/>
          <w:iCs/>
          <w:sz w:val="24"/>
          <w:szCs w:val="24"/>
        </w:rPr>
        <w:t xml:space="preserve">Mechanisms of </w:t>
      </w:r>
      <w:r w:rsidR="00DA46D6" w:rsidRPr="008B5AB2">
        <w:rPr>
          <w:rFonts w:asciiTheme="majorBidi" w:hAnsiTheme="majorBidi"/>
          <w:i/>
          <w:iCs/>
        </w:rPr>
        <w:t xml:space="preserve">Intestinal Barrier Function and </w:t>
      </w:r>
      <w:r w:rsidR="008B5AB2" w:rsidRPr="008B5AB2">
        <w:rPr>
          <w:rFonts w:asciiTheme="majorBidi" w:hAnsiTheme="majorBidi"/>
          <w:i/>
          <w:iCs/>
        </w:rPr>
        <w:t xml:space="preserve">Regulation of </w:t>
      </w:r>
      <w:proofErr w:type="spellStart"/>
      <w:r w:rsidR="008B5AB2" w:rsidRPr="008B5AB2">
        <w:rPr>
          <w:rFonts w:asciiTheme="majorBidi" w:hAnsiTheme="majorBidi"/>
          <w:i/>
          <w:iCs/>
        </w:rPr>
        <w:t>neuroinflammation</w:t>
      </w:r>
      <w:proofErr w:type="spellEnd"/>
      <w:r w:rsidR="008B5AB2" w:rsidRPr="008B5AB2">
        <w:rPr>
          <w:rFonts w:asciiTheme="majorBidi" w:hAnsiTheme="majorBidi"/>
          <w:i/>
          <w:iCs/>
        </w:rPr>
        <w:t xml:space="preserve"> </w:t>
      </w:r>
    </w:p>
    <w:p w14:paraId="5F0B07BC" w14:textId="0014D6F4" w:rsidR="00AB60AB" w:rsidRPr="008B5AB2" w:rsidRDefault="00DA46D6" w:rsidP="008B5AB2">
      <w:pPr>
        <w:pStyle w:val="NormalWeb"/>
        <w:jc w:val="both"/>
        <w:rPr>
          <w:rFonts w:asciiTheme="majorBidi" w:hAnsiTheme="majorBidi" w:cstheme="majorBidi"/>
        </w:rPr>
      </w:pPr>
      <w:r w:rsidRPr="00856ECB">
        <w:rPr>
          <w:rFonts w:asciiTheme="majorBidi" w:hAnsiTheme="majorBidi" w:cstheme="majorBidi"/>
        </w:rPr>
        <w:t xml:space="preserve">The gastrointestinal (GI) tract functions as a selectively permeable barrier, allowing the absorption of essential nutrients while preventing the entry of harmful pathogens and toxins. When this barrier becomes compromised—commonly referred to as </w:t>
      </w:r>
      <w:r w:rsidR="00945027" w:rsidRPr="00856ECB">
        <w:rPr>
          <w:rFonts w:asciiTheme="majorBidi" w:hAnsiTheme="majorBidi" w:cstheme="majorBidi"/>
        </w:rPr>
        <w:t>“</w:t>
      </w:r>
      <w:r w:rsidRPr="00856ECB">
        <w:rPr>
          <w:rFonts w:asciiTheme="majorBidi" w:hAnsiTheme="majorBidi" w:cstheme="majorBidi"/>
        </w:rPr>
        <w:t>leaky gut</w:t>
      </w:r>
      <w:r w:rsidR="00945027" w:rsidRPr="00856ECB">
        <w:rPr>
          <w:rFonts w:asciiTheme="majorBidi" w:hAnsiTheme="majorBidi" w:cstheme="majorBidi"/>
        </w:rPr>
        <w:t>”</w:t>
      </w:r>
      <w:r w:rsidRPr="00856ECB">
        <w:rPr>
          <w:rFonts w:asciiTheme="majorBidi" w:hAnsiTheme="majorBidi" w:cstheme="majorBidi"/>
        </w:rPr>
        <w:t xml:space="preserve">—it allows the translocation of microbial products and antigens, which can contribute to conditions such as inflammatory bowel disease. The integrity of the intestinal barrier is primarily maintained by tight junction proteins (TJPs), including </w:t>
      </w:r>
      <w:proofErr w:type="spellStart"/>
      <w:r w:rsidRPr="00856ECB">
        <w:rPr>
          <w:rFonts w:asciiTheme="majorBidi" w:hAnsiTheme="majorBidi" w:cstheme="majorBidi"/>
        </w:rPr>
        <w:t>occludin</w:t>
      </w:r>
      <w:proofErr w:type="spellEnd"/>
      <w:r w:rsidRPr="00856ECB">
        <w:rPr>
          <w:rFonts w:asciiTheme="majorBidi" w:hAnsiTheme="majorBidi" w:cstheme="majorBidi"/>
        </w:rPr>
        <w:t xml:space="preserve">, </w:t>
      </w:r>
      <w:proofErr w:type="spellStart"/>
      <w:r w:rsidRPr="00856ECB">
        <w:rPr>
          <w:rFonts w:asciiTheme="majorBidi" w:hAnsiTheme="majorBidi" w:cstheme="majorBidi"/>
        </w:rPr>
        <w:t>claudins</w:t>
      </w:r>
      <w:proofErr w:type="spellEnd"/>
      <w:r w:rsidRPr="00856ECB">
        <w:rPr>
          <w:rFonts w:asciiTheme="majorBidi" w:hAnsiTheme="majorBidi" w:cstheme="majorBidi"/>
        </w:rPr>
        <w:t xml:space="preserve">, and </w:t>
      </w:r>
      <w:proofErr w:type="spellStart"/>
      <w:r w:rsidRPr="00856ECB">
        <w:rPr>
          <w:rFonts w:asciiTheme="majorBidi" w:hAnsiTheme="majorBidi" w:cstheme="majorBidi"/>
        </w:rPr>
        <w:t>zonula</w:t>
      </w:r>
      <w:proofErr w:type="spellEnd"/>
      <w:r w:rsidRPr="00856ECB">
        <w:rPr>
          <w:rFonts w:asciiTheme="majorBidi" w:hAnsiTheme="majorBidi" w:cstheme="majorBidi"/>
        </w:rPr>
        <w:t xml:space="preserve"> </w:t>
      </w:r>
      <w:proofErr w:type="spellStart"/>
      <w:r w:rsidRPr="00856ECB">
        <w:rPr>
          <w:rFonts w:asciiTheme="majorBidi" w:hAnsiTheme="majorBidi" w:cstheme="majorBidi"/>
        </w:rPr>
        <w:t>occludens</w:t>
      </w:r>
      <w:proofErr w:type="spellEnd"/>
      <w:r w:rsidRPr="00856ECB">
        <w:rPr>
          <w:rFonts w:asciiTheme="majorBidi" w:hAnsiTheme="majorBidi" w:cstheme="majorBidi"/>
        </w:rPr>
        <w:t>, which are regulated by both host and microbial factors</w:t>
      </w:r>
      <w:r w:rsidR="002D6F38" w:rsidRPr="00856ECB">
        <w:rPr>
          <w:rFonts w:asciiTheme="majorBidi" w:hAnsiTheme="majorBidi" w:cstheme="majorBidi"/>
        </w:rPr>
        <w:t xml:space="preserve"> </w:t>
      </w:r>
      <w:r w:rsidR="00093BA8" w:rsidRPr="00856ECB">
        <w:rPr>
          <w:rFonts w:asciiTheme="majorBidi" w:hAnsiTheme="majorBidi" w:cstheme="majorBidi"/>
        </w:rPr>
        <w:fldChar w:fldCharType="begin"/>
      </w:r>
      <w:r w:rsidR="00093BA8" w:rsidRPr="00856ECB">
        <w:rPr>
          <w:rFonts w:asciiTheme="majorBidi" w:hAnsiTheme="majorBidi" w:cstheme="majorBidi"/>
        </w:rPr>
        <w:instrText xml:space="preserve"> ADDIN EN.CITE &lt;EndNote&gt;&lt;Cite&gt;&lt;Author&gt;Bischoff&lt;/Author&gt;&lt;Year&gt;2014&lt;/Year&gt;&lt;RecNum&gt;254&lt;/RecNum&gt;&lt;DisplayText&gt;(28)&lt;/DisplayText&gt;&lt;record&gt;&lt;rec-number&gt;254&lt;/rec-number&gt;&lt;foreign-keys&gt;&lt;key app="EN" db-id="exwvr9fd40te9ner0f4ptrrorttf9svzawdd" timestamp="1751799820"&gt;254&lt;/key&gt;&lt;/foreign-keys&gt;&lt;ref-type name="Journal Article"&gt;17&lt;/ref-type&gt;&lt;contributors&gt;&lt;authors&gt;&lt;author&gt;Bischoff, Stephan C&lt;/author&gt;&lt;author&gt;Barbara, Giovanni&lt;/author&gt;&lt;author&gt;Buurman, Wim&lt;/author&gt;&lt;author&gt;Ockhuizen, Theo&lt;/author&gt;&lt;author&gt;Schulzke, Jörg-Dieter&lt;/author&gt;&lt;author&gt;Serino, Matteo&lt;/author&gt;&lt;author&gt;Tilg, Herbert&lt;/author&gt;&lt;author&gt;Watson, Alastair&lt;/author&gt;&lt;author&gt;Wells, Jerry M&lt;/author&gt;&lt;/authors&gt;&lt;/contributors&gt;&lt;titles&gt;&lt;title&gt;Intestinal permeability–a new target for disease prevention and therapy&lt;/title&gt;&lt;secondary-title&gt;BMC gastroenterology&lt;/secondary-title&gt;&lt;/titles&gt;&lt;periodical&gt;&lt;full-title&gt;BMC gastroenterology&lt;/full-title&gt;&lt;/periodical&gt;&lt;pages&gt;1-25&lt;/pages&gt;&lt;volume&gt;14&lt;/volume&gt;&lt;dates&gt;&lt;year&gt;2014&lt;/year&gt;&lt;/dates&gt;&lt;urls&gt;&lt;/urls&gt;&lt;/record&gt;&lt;/Cite&gt;&lt;/EndNote&gt;</w:instrText>
      </w:r>
      <w:r w:rsidR="00093BA8" w:rsidRPr="00856ECB">
        <w:rPr>
          <w:rFonts w:asciiTheme="majorBidi" w:hAnsiTheme="majorBidi" w:cstheme="majorBidi"/>
        </w:rPr>
        <w:fldChar w:fldCharType="separate"/>
      </w:r>
      <w:r w:rsidR="00093BA8" w:rsidRPr="00856ECB">
        <w:rPr>
          <w:rFonts w:asciiTheme="majorBidi" w:hAnsiTheme="majorBidi" w:cstheme="majorBidi"/>
          <w:noProof/>
        </w:rPr>
        <w:t>(28)</w:t>
      </w:r>
      <w:r w:rsidR="00093BA8" w:rsidRPr="00856ECB">
        <w:rPr>
          <w:rFonts w:asciiTheme="majorBidi" w:hAnsiTheme="majorBidi" w:cstheme="majorBidi"/>
        </w:rPr>
        <w:fldChar w:fldCharType="end"/>
      </w:r>
      <w:r w:rsidR="0068107A" w:rsidRPr="00856ECB">
        <w:rPr>
          <w:rFonts w:asciiTheme="majorBidi" w:hAnsiTheme="majorBidi" w:cstheme="majorBidi"/>
        </w:rPr>
        <w:t xml:space="preserve">. </w:t>
      </w:r>
      <w:r w:rsidRPr="00856ECB">
        <w:rPr>
          <w:rFonts w:asciiTheme="majorBidi" w:hAnsiTheme="majorBidi" w:cstheme="majorBidi"/>
        </w:rPr>
        <w:t xml:space="preserve">Probiotic strains such as </w:t>
      </w:r>
      <w:r w:rsidRPr="00856ECB">
        <w:rPr>
          <w:rFonts w:asciiTheme="majorBidi" w:hAnsiTheme="majorBidi" w:cstheme="majorBidi"/>
          <w:i/>
          <w:iCs/>
        </w:rPr>
        <w:t xml:space="preserve">Lactobacillus </w:t>
      </w:r>
      <w:proofErr w:type="spellStart"/>
      <w:r w:rsidRPr="00856ECB">
        <w:rPr>
          <w:rFonts w:asciiTheme="majorBidi" w:hAnsiTheme="majorBidi" w:cstheme="majorBidi"/>
          <w:i/>
          <w:iCs/>
        </w:rPr>
        <w:t>rhamnosus</w:t>
      </w:r>
      <w:proofErr w:type="spellEnd"/>
      <w:r w:rsidRPr="00856ECB">
        <w:rPr>
          <w:rFonts w:asciiTheme="majorBidi" w:hAnsiTheme="majorBidi" w:cstheme="majorBidi"/>
          <w:i/>
          <w:iCs/>
        </w:rPr>
        <w:t xml:space="preserve"> LR 32, </w:t>
      </w:r>
      <w:proofErr w:type="spellStart"/>
      <w:r w:rsidRPr="00856ECB">
        <w:rPr>
          <w:rFonts w:asciiTheme="majorBidi" w:hAnsiTheme="majorBidi" w:cstheme="majorBidi"/>
          <w:i/>
          <w:iCs/>
        </w:rPr>
        <w:t>Bifidobacterium</w:t>
      </w:r>
      <w:proofErr w:type="spellEnd"/>
      <w:r w:rsidRPr="00856ECB">
        <w:rPr>
          <w:rFonts w:asciiTheme="majorBidi" w:hAnsiTheme="majorBidi" w:cstheme="majorBidi"/>
          <w:i/>
          <w:iCs/>
        </w:rPr>
        <w:t xml:space="preserve"> </w:t>
      </w:r>
      <w:proofErr w:type="spellStart"/>
      <w:r w:rsidRPr="00856ECB">
        <w:rPr>
          <w:rFonts w:asciiTheme="majorBidi" w:hAnsiTheme="majorBidi" w:cstheme="majorBidi"/>
          <w:i/>
          <w:iCs/>
        </w:rPr>
        <w:t>lactis</w:t>
      </w:r>
      <w:proofErr w:type="spellEnd"/>
      <w:r w:rsidRPr="00856ECB">
        <w:rPr>
          <w:rFonts w:asciiTheme="majorBidi" w:hAnsiTheme="majorBidi" w:cstheme="majorBidi"/>
          <w:i/>
          <w:iCs/>
        </w:rPr>
        <w:t xml:space="preserve"> BL 04, </w:t>
      </w:r>
      <w:r w:rsidRPr="00856ECB">
        <w:rPr>
          <w:rFonts w:asciiTheme="majorBidi" w:hAnsiTheme="majorBidi" w:cstheme="majorBidi"/>
        </w:rPr>
        <w:t>and</w:t>
      </w:r>
      <w:r w:rsidRPr="00856ECB">
        <w:rPr>
          <w:rFonts w:asciiTheme="majorBidi" w:hAnsiTheme="majorBidi" w:cstheme="majorBidi"/>
          <w:i/>
          <w:iCs/>
        </w:rPr>
        <w:t xml:space="preserve"> </w:t>
      </w:r>
      <w:proofErr w:type="spellStart"/>
      <w:r w:rsidRPr="00856ECB">
        <w:rPr>
          <w:rFonts w:asciiTheme="majorBidi" w:hAnsiTheme="majorBidi" w:cstheme="majorBidi"/>
          <w:i/>
          <w:iCs/>
        </w:rPr>
        <w:t>Bifidobacterium</w:t>
      </w:r>
      <w:proofErr w:type="spellEnd"/>
      <w:r w:rsidRPr="00856ECB">
        <w:rPr>
          <w:rFonts w:asciiTheme="majorBidi" w:hAnsiTheme="majorBidi" w:cstheme="majorBidi"/>
          <w:i/>
          <w:iCs/>
        </w:rPr>
        <w:t xml:space="preserve"> </w:t>
      </w:r>
      <w:proofErr w:type="spellStart"/>
      <w:r w:rsidRPr="00856ECB">
        <w:rPr>
          <w:rFonts w:asciiTheme="majorBidi" w:hAnsiTheme="majorBidi" w:cstheme="majorBidi"/>
          <w:i/>
          <w:iCs/>
        </w:rPr>
        <w:t>longum</w:t>
      </w:r>
      <w:proofErr w:type="spellEnd"/>
      <w:r w:rsidRPr="00856ECB">
        <w:rPr>
          <w:rFonts w:asciiTheme="majorBidi" w:hAnsiTheme="majorBidi" w:cstheme="majorBidi"/>
          <w:i/>
          <w:iCs/>
        </w:rPr>
        <w:t xml:space="preserve"> BB 536 </w:t>
      </w:r>
      <w:r w:rsidRPr="00856ECB">
        <w:rPr>
          <w:rFonts w:asciiTheme="majorBidi" w:hAnsiTheme="majorBidi" w:cstheme="majorBidi"/>
        </w:rPr>
        <w:t xml:space="preserve">have been shown to strengthen the gut barrier by modulating the expression of TJPs. Additionally, </w:t>
      </w:r>
      <w:r w:rsidRPr="00856ECB">
        <w:rPr>
          <w:rFonts w:asciiTheme="majorBidi" w:hAnsiTheme="majorBidi" w:cstheme="majorBidi"/>
          <w:i/>
          <w:iCs/>
        </w:rPr>
        <w:t>Lactobacillus</w:t>
      </w:r>
      <w:r w:rsidRPr="00856ECB">
        <w:rPr>
          <w:rFonts w:asciiTheme="majorBidi" w:hAnsiTheme="majorBidi" w:cstheme="majorBidi"/>
        </w:rPr>
        <w:t xml:space="preserve"> and </w:t>
      </w:r>
      <w:proofErr w:type="spellStart"/>
      <w:r w:rsidRPr="00856ECB">
        <w:rPr>
          <w:rFonts w:asciiTheme="majorBidi" w:hAnsiTheme="majorBidi" w:cstheme="majorBidi"/>
          <w:i/>
          <w:iCs/>
        </w:rPr>
        <w:t>Bifidobacterium</w:t>
      </w:r>
      <w:proofErr w:type="spellEnd"/>
      <w:r w:rsidRPr="00856ECB">
        <w:rPr>
          <w:rFonts w:asciiTheme="majorBidi" w:hAnsiTheme="majorBidi" w:cstheme="majorBidi"/>
        </w:rPr>
        <w:t xml:space="preserve"> species promote gut health by reducing inflammation, preventing pathogenic adhesion, producing bioactive compounds, and stimulating digestive enzymes, thereby supporting both gastrointestinal and systemic health</w:t>
      </w:r>
      <w:r w:rsidR="0068107A" w:rsidRPr="00856ECB">
        <w:rPr>
          <w:rFonts w:asciiTheme="majorBidi" w:hAnsiTheme="majorBidi" w:cstheme="majorBidi"/>
        </w:rPr>
        <w:t xml:space="preserve"> </w:t>
      </w:r>
      <w:r w:rsidR="00093BA8" w:rsidRPr="00856ECB">
        <w:rPr>
          <w:rFonts w:asciiTheme="majorBidi" w:hAnsiTheme="majorBidi" w:cstheme="majorBidi"/>
        </w:rPr>
        <w:fldChar w:fldCharType="begin"/>
      </w:r>
      <w:r w:rsidR="00093BA8" w:rsidRPr="00856ECB">
        <w:rPr>
          <w:rFonts w:asciiTheme="majorBidi" w:hAnsiTheme="majorBidi" w:cstheme="majorBidi"/>
        </w:rPr>
        <w:instrText xml:space="preserve"> ADDIN EN.CITE &lt;EndNote&gt;&lt;Cite&gt;&lt;Author&gt;Alvarez&lt;/Author&gt;&lt;Year&gt;2016&lt;/Year&gt;&lt;RecNum&gt;255&lt;/RecNum&gt;&lt;DisplayText&gt;(29)&lt;/DisplayText&gt;&lt;record&gt;&lt;rec-number&gt;255&lt;/rec-number&gt;&lt;foreign-keys&gt;&lt;key app="EN" db-id="exwvr9fd40te9ner0f4ptrrorttf9svzawdd" timestamp="1751800015"&gt;255&lt;/key&gt;&lt;/foreign-keys&gt;&lt;ref-type name="Journal Article"&gt;17&lt;/ref-type&gt;&lt;contributors&gt;&lt;authors&gt;&lt;author&gt;Alvarez, Carina-Shianya&lt;/author&gt;&lt;author&gt;Badia, Josefa&lt;/author&gt;&lt;author&gt;Bosch, Manel&lt;/author&gt;&lt;author&gt;Giménez, Rosa&lt;/author&gt;&lt;author&gt;Baldomà, Laura&lt;/author&gt;&lt;/authors&gt;&lt;/contributors&gt;&lt;titles&gt;&lt;title&gt;Outer membrane vesicles and soluble factors released by probiotic Escherichia coli Nissle 1917 and commensal ECOR63 enhance barrier function by regulating expression of tight junction proteins in intestinal epithelial cells&lt;/title&gt;&lt;secondary-title&gt;Frontiers in microbiology&lt;/secondary-title&gt;&lt;/titles&gt;&lt;periodical&gt;&lt;full-title&gt;Frontiers in microbiology&lt;/full-title&gt;&lt;/periodical&gt;&lt;pages&gt;1981&lt;/pages&gt;&lt;volume&gt;7&lt;/volume&gt;&lt;dates&gt;&lt;year&gt;2016&lt;/year&gt;&lt;/dates&gt;&lt;isbn&gt;1664-302X&lt;/isbn&gt;&lt;urls&gt;&lt;/urls&gt;&lt;/record&gt;&lt;/Cite&gt;&lt;/EndNote&gt;</w:instrText>
      </w:r>
      <w:r w:rsidR="00093BA8" w:rsidRPr="00856ECB">
        <w:rPr>
          <w:rFonts w:asciiTheme="majorBidi" w:hAnsiTheme="majorBidi" w:cstheme="majorBidi"/>
        </w:rPr>
        <w:fldChar w:fldCharType="separate"/>
      </w:r>
      <w:r w:rsidR="00093BA8" w:rsidRPr="00856ECB">
        <w:rPr>
          <w:rFonts w:asciiTheme="majorBidi" w:hAnsiTheme="majorBidi" w:cstheme="majorBidi"/>
          <w:noProof/>
        </w:rPr>
        <w:t>(29)</w:t>
      </w:r>
      <w:r w:rsidR="00093BA8" w:rsidRPr="00856ECB">
        <w:rPr>
          <w:rFonts w:asciiTheme="majorBidi" w:hAnsiTheme="majorBidi" w:cstheme="majorBidi"/>
        </w:rPr>
        <w:fldChar w:fldCharType="end"/>
      </w:r>
      <w:r w:rsidR="0068107A" w:rsidRPr="00856ECB">
        <w:rPr>
          <w:rFonts w:asciiTheme="majorBidi" w:hAnsiTheme="majorBidi" w:cstheme="majorBidi"/>
        </w:rPr>
        <w:t>.</w:t>
      </w:r>
      <w:r w:rsidR="00A5590C" w:rsidRPr="00856ECB">
        <w:rPr>
          <w:rFonts w:asciiTheme="majorBidi" w:hAnsiTheme="majorBidi" w:cstheme="majorBidi"/>
        </w:rPr>
        <w:t xml:space="preserve"> </w:t>
      </w:r>
      <w:r w:rsidRPr="00856ECB">
        <w:rPr>
          <w:rFonts w:asciiTheme="majorBidi" w:hAnsiTheme="majorBidi" w:cstheme="majorBidi"/>
        </w:rPr>
        <w:t xml:space="preserve">In contrast, pathogenic bacteria like </w:t>
      </w:r>
      <w:r w:rsidRPr="00856ECB">
        <w:rPr>
          <w:rFonts w:asciiTheme="majorBidi" w:hAnsiTheme="majorBidi" w:cstheme="majorBidi"/>
          <w:i/>
          <w:iCs/>
        </w:rPr>
        <w:t xml:space="preserve">Salmonella </w:t>
      </w:r>
      <w:proofErr w:type="spellStart"/>
      <w:r w:rsidRPr="00856ECB">
        <w:rPr>
          <w:rFonts w:asciiTheme="majorBidi" w:hAnsiTheme="majorBidi" w:cstheme="majorBidi"/>
          <w:i/>
          <w:iCs/>
        </w:rPr>
        <w:t>Typhimurium</w:t>
      </w:r>
      <w:proofErr w:type="spellEnd"/>
      <w:r w:rsidRPr="00856ECB">
        <w:rPr>
          <w:rFonts w:asciiTheme="majorBidi" w:hAnsiTheme="majorBidi" w:cstheme="majorBidi"/>
          <w:i/>
          <w:iCs/>
        </w:rPr>
        <w:t xml:space="preserve"> </w:t>
      </w:r>
      <w:r w:rsidRPr="00856ECB">
        <w:rPr>
          <w:rFonts w:asciiTheme="majorBidi" w:hAnsiTheme="majorBidi" w:cstheme="majorBidi"/>
        </w:rPr>
        <w:t xml:space="preserve">and </w:t>
      </w:r>
      <w:r w:rsidRPr="00856ECB">
        <w:rPr>
          <w:rFonts w:asciiTheme="majorBidi" w:hAnsiTheme="majorBidi" w:cstheme="majorBidi"/>
          <w:i/>
          <w:iCs/>
        </w:rPr>
        <w:t xml:space="preserve">Escherichia coli </w:t>
      </w:r>
      <w:r w:rsidRPr="00856ECB">
        <w:rPr>
          <w:rFonts w:asciiTheme="majorBidi" w:hAnsiTheme="majorBidi" w:cstheme="majorBidi"/>
        </w:rPr>
        <w:t>can disrupt the epithelial barrier, worsening inflammation and tissue damage.</w:t>
      </w:r>
      <w:r w:rsidR="002D6F38" w:rsidRPr="00856ECB">
        <w:rPr>
          <w:rFonts w:asciiTheme="majorBidi" w:hAnsiTheme="majorBidi" w:cstheme="majorBidi"/>
        </w:rPr>
        <w:t xml:space="preserve"> </w:t>
      </w:r>
      <w:r w:rsidR="00093BA8" w:rsidRPr="00856ECB">
        <w:rPr>
          <w:rFonts w:asciiTheme="majorBidi" w:hAnsiTheme="majorBidi" w:cstheme="majorBidi"/>
        </w:rPr>
        <w:fldChar w:fldCharType="begin"/>
      </w:r>
      <w:r w:rsidR="00093BA8" w:rsidRPr="00856ECB">
        <w:rPr>
          <w:rFonts w:asciiTheme="majorBidi" w:hAnsiTheme="majorBidi" w:cstheme="majorBidi"/>
        </w:rPr>
        <w:instrText xml:space="preserve"> ADDIN EN.CITE &lt;EndNote&gt;&lt;Cite&gt;&lt;Author&gt;Fusco&lt;/Author&gt;&lt;Year&gt;2023&lt;/Year&gt;&lt;RecNum&gt;257&lt;/RecNum&gt;&lt;DisplayText&gt;(30)&lt;/DisplayText&gt;&lt;record&gt;&lt;rec-number&gt;257&lt;/rec-number&gt;&lt;foreign-keys&gt;&lt;key app="EN" db-id="exwvr9fd40te9ner0f4ptrrorttf9svzawdd" timestamp="1751815644"&gt;257&lt;/key&gt;&lt;/foreign-keys&gt;&lt;ref-type name="Journal Article"&gt;17&lt;/ref-type&gt;&lt;contributors&gt;&lt;authors&gt;&lt;author&gt;Fusco, Alessandra&lt;/author&gt;&lt;author&gt;Savio, Vittoria&lt;/author&gt;&lt;author&gt;Cimini, Donatella&lt;/author&gt;&lt;author&gt;D’Ambrosio, Sergio&lt;/author&gt;&lt;author&gt;Chiaromonte, Adriana&lt;/author&gt;&lt;author&gt;Schiraldi, Chiara&lt;/author&gt;&lt;author&gt;Donnarumma, Giovanna&lt;/author&gt;&lt;/authors&gt;&lt;/contributors&gt;&lt;titles&gt;&lt;title&gt;In vitro evaluation of the most active probiotic strains able to improve the intestinal barrier functions and to prevent inflammatory diseases of the gastrointestinal system&lt;/title&gt;&lt;secondary-title&gt;Biomedicines&lt;/secondary-title&gt;&lt;/titles&gt;&lt;periodical&gt;&lt;full-title&gt;Biomedicines&lt;/full-title&gt;&lt;/periodical&gt;&lt;pages&gt;865&lt;/pages&gt;&lt;volume&gt;11&lt;/volume&gt;&lt;number&gt;3&lt;/number&gt;&lt;dates&gt;&lt;year&gt;2023&lt;/year&gt;&lt;/dates&gt;&lt;isbn&gt;2227-9059&lt;/isbn&gt;&lt;urls&gt;&lt;/urls&gt;&lt;/record&gt;&lt;/Cite&gt;&lt;/EndNote&gt;</w:instrText>
      </w:r>
      <w:r w:rsidR="00093BA8" w:rsidRPr="00856ECB">
        <w:rPr>
          <w:rFonts w:asciiTheme="majorBidi" w:hAnsiTheme="majorBidi" w:cstheme="majorBidi"/>
        </w:rPr>
        <w:fldChar w:fldCharType="separate"/>
      </w:r>
      <w:r w:rsidR="00093BA8" w:rsidRPr="00856ECB">
        <w:rPr>
          <w:rFonts w:asciiTheme="majorBidi" w:hAnsiTheme="majorBidi" w:cstheme="majorBidi"/>
          <w:noProof/>
        </w:rPr>
        <w:t>(30)</w:t>
      </w:r>
      <w:r w:rsidR="00093BA8" w:rsidRPr="00856ECB">
        <w:rPr>
          <w:rFonts w:asciiTheme="majorBidi" w:hAnsiTheme="majorBidi" w:cstheme="majorBidi"/>
        </w:rPr>
        <w:fldChar w:fldCharType="end"/>
      </w:r>
      <w:r w:rsidR="0068107A" w:rsidRPr="00856ECB">
        <w:rPr>
          <w:rFonts w:asciiTheme="majorBidi" w:hAnsiTheme="majorBidi" w:cstheme="majorBidi"/>
        </w:rPr>
        <w:t xml:space="preserve">. </w:t>
      </w:r>
    </w:p>
    <w:p w14:paraId="2F7F7B5F" w14:textId="3E068AB7" w:rsidR="0068107A" w:rsidRDefault="00DA46D6" w:rsidP="009A0C39">
      <w:pPr>
        <w:pStyle w:val="NormalWeb"/>
        <w:jc w:val="both"/>
        <w:rPr>
          <w:rFonts w:asciiTheme="majorBidi" w:hAnsiTheme="majorBidi" w:cstheme="majorBidi"/>
        </w:rPr>
      </w:pPr>
      <w:r w:rsidRPr="00856ECB">
        <w:rPr>
          <w:rFonts w:asciiTheme="majorBidi" w:hAnsiTheme="majorBidi" w:cstheme="majorBidi"/>
        </w:rPr>
        <w:t xml:space="preserve">The gut </w:t>
      </w:r>
      <w:proofErr w:type="spellStart"/>
      <w:r w:rsidRPr="00856ECB">
        <w:rPr>
          <w:rFonts w:asciiTheme="majorBidi" w:hAnsiTheme="majorBidi" w:cstheme="majorBidi"/>
        </w:rPr>
        <w:t>microbiota</w:t>
      </w:r>
      <w:proofErr w:type="spellEnd"/>
      <w:r w:rsidRPr="00856ECB">
        <w:rPr>
          <w:rFonts w:asciiTheme="majorBidi" w:hAnsiTheme="majorBidi" w:cstheme="majorBidi"/>
        </w:rPr>
        <w:t xml:space="preserve"> contributes to central nervous system (CNS) regulation through immunological pathways and neurotransmitter modulation. For instance, </w:t>
      </w:r>
      <w:proofErr w:type="spellStart"/>
      <w:r w:rsidRPr="00856ECB">
        <w:rPr>
          <w:rFonts w:asciiTheme="majorBidi" w:hAnsiTheme="majorBidi" w:cstheme="majorBidi"/>
          <w:i/>
          <w:iCs/>
        </w:rPr>
        <w:t>Bifidobacterium</w:t>
      </w:r>
      <w:proofErr w:type="spellEnd"/>
      <w:r w:rsidRPr="00856ECB">
        <w:rPr>
          <w:rFonts w:asciiTheme="majorBidi" w:hAnsiTheme="majorBidi" w:cstheme="majorBidi"/>
          <w:i/>
          <w:iCs/>
        </w:rPr>
        <w:t xml:space="preserve"> </w:t>
      </w:r>
      <w:proofErr w:type="spellStart"/>
      <w:r w:rsidRPr="00856ECB">
        <w:rPr>
          <w:rFonts w:asciiTheme="majorBidi" w:hAnsiTheme="majorBidi" w:cstheme="majorBidi"/>
          <w:i/>
          <w:iCs/>
        </w:rPr>
        <w:t>longum</w:t>
      </w:r>
      <w:proofErr w:type="spellEnd"/>
      <w:r w:rsidRPr="00856ECB">
        <w:rPr>
          <w:rFonts w:asciiTheme="majorBidi" w:hAnsiTheme="majorBidi" w:cstheme="majorBidi"/>
          <w:i/>
          <w:iCs/>
        </w:rPr>
        <w:t xml:space="preserve"> CCFM1077</w:t>
      </w:r>
      <w:r w:rsidRPr="00856ECB">
        <w:rPr>
          <w:rFonts w:asciiTheme="majorBidi" w:hAnsiTheme="majorBidi" w:cstheme="majorBidi"/>
        </w:rPr>
        <w:t xml:space="preserve"> has been shown to reduce microglial activation in the cerebellum, influence neurotransmitters such as glutamic acid and gamma-</w:t>
      </w:r>
      <w:proofErr w:type="spellStart"/>
      <w:r w:rsidRPr="00856ECB">
        <w:rPr>
          <w:rFonts w:asciiTheme="majorBidi" w:hAnsiTheme="majorBidi" w:cstheme="majorBidi"/>
        </w:rPr>
        <w:t>aminobutyric</w:t>
      </w:r>
      <w:proofErr w:type="spellEnd"/>
      <w:r w:rsidRPr="00856ECB">
        <w:rPr>
          <w:rFonts w:asciiTheme="majorBidi" w:hAnsiTheme="majorBidi" w:cstheme="majorBidi"/>
        </w:rPr>
        <w:t xml:space="preserve"> acid, and improve </w:t>
      </w:r>
      <w:proofErr w:type="spellStart"/>
      <w:r w:rsidRPr="00856ECB">
        <w:rPr>
          <w:rFonts w:asciiTheme="majorBidi" w:hAnsiTheme="majorBidi" w:cstheme="majorBidi"/>
        </w:rPr>
        <w:t>kynurenine</w:t>
      </w:r>
      <w:proofErr w:type="spellEnd"/>
      <w:r w:rsidRPr="00856ECB">
        <w:rPr>
          <w:rFonts w:asciiTheme="majorBidi" w:hAnsiTheme="majorBidi" w:cstheme="majorBidi"/>
        </w:rPr>
        <w:t xml:space="preserve"> pathway metabolism by lowering </w:t>
      </w:r>
      <w:proofErr w:type="spellStart"/>
      <w:r w:rsidRPr="00856ECB">
        <w:rPr>
          <w:rFonts w:asciiTheme="majorBidi" w:hAnsiTheme="majorBidi" w:cstheme="majorBidi"/>
        </w:rPr>
        <w:t>quinolinic</w:t>
      </w:r>
      <w:proofErr w:type="spellEnd"/>
      <w:r w:rsidRPr="00856ECB">
        <w:rPr>
          <w:rFonts w:asciiTheme="majorBidi" w:hAnsiTheme="majorBidi" w:cstheme="majorBidi"/>
        </w:rPr>
        <w:t xml:space="preserve"> acid levels</w:t>
      </w:r>
      <w:r w:rsidR="0068107A" w:rsidRPr="00856ECB">
        <w:rPr>
          <w:rFonts w:asciiTheme="majorBidi" w:hAnsiTheme="majorBidi" w:cstheme="majorBidi"/>
        </w:rPr>
        <w:t xml:space="preserve"> </w:t>
      </w:r>
      <w:r w:rsidR="00093BA8" w:rsidRPr="00856ECB">
        <w:rPr>
          <w:rFonts w:asciiTheme="majorBidi" w:hAnsiTheme="majorBidi" w:cstheme="majorBidi"/>
        </w:rPr>
        <w:fldChar w:fldCharType="begin"/>
      </w:r>
      <w:r w:rsidR="00093BA8" w:rsidRPr="00856ECB">
        <w:rPr>
          <w:rFonts w:asciiTheme="majorBidi" w:hAnsiTheme="majorBidi" w:cstheme="majorBidi"/>
        </w:rPr>
        <w:instrText xml:space="preserve"> ADDIN EN.CITE &lt;EndNote&gt;&lt;Cite&gt;&lt;Author&gt;Chandrasekaran&lt;/Author&gt;&lt;Year&gt;2024&lt;/Year&gt;&lt;RecNum&gt;258&lt;/RecNum&gt;&lt;DisplayText&gt;(31)&lt;/DisplayText&gt;&lt;record&gt;&lt;rec-number&gt;258&lt;/rec-number&gt;&lt;foreign-keys&gt;&lt;key app="EN" db-id="exwvr9fd40te9ner0f4ptrrorttf9svzawdd" timestamp="1751815942"&gt;258&lt;/key&gt;&lt;/foreign-keys&gt;&lt;ref-type name="Journal Article"&gt;17&lt;/ref-type&gt;&lt;contributors&gt;&lt;authors&gt;&lt;author&gt;Chandrasekaran, Preethi&lt;/author&gt;&lt;author&gt;Weiskirchen, Sabine&lt;/author&gt;&lt;author&gt;Weiskirchen, Ralf&lt;/author&gt;&lt;/authors&gt;&lt;/contributors&gt;&lt;titles&gt;&lt;title&gt;Effects of probiotics on gut microbiota: an overview&lt;/title&gt;&lt;secondary-title&gt;International journal of molecular sciences&lt;/secondary-title&gt;&lt;/titles&gt;&lt;periodical&gt;&lt;full-title&gt;International journal of molecular sciences&lt;/full-title&gt;&lt;/periodical&gt;&lt;pages&gt;6022&lt;/pages&gt;&lt;volume&gt;25&lt;/volume&gt;&lt;number&gt;11&lt;/number&gt;&lt;dates&gt;&lt;year&gt;2024&lt;/year&gt;&lt;/dates&gt;&lt;isbn&gt;1422-0067&lt;/isbn&gt;&lt;urls&gt;&lt;/urls&gt;&lt;/record&gt;&lt;/Cite&gt;&lt;/EndNote&gt;</w:instrText>
      </w:r>
      <w:r w:rsidR="00093BA8" w:rsidRPr="00856ECB">
        <w:rPr>
          <w:rFonts w:asciiTheme="majorBidi" w:hAnsiTheme="majorBidi" w:cstheme="majorBidi"/>
        </w:rPr>
        <w:fldChar w:fldCharType="separate"/>
      </w:r>
      <w:r w:rsidR="00093BA8" w:rsidRPr="00856ECB">
        <w:rPr>
          <w:rFonts w:asciiTheme="majorBidi" w:hAnsiTheme="majorBidi" w:cstheme="majorBidi"/>
          <w:noProof/>
        </w:rPr>
        <w:t>(31)</w:t>
      </w:r>
      <w:r w:rsidR="00093BA8" w:rsidRPr="00856ECB">
        <w:rPr>
          <w:rFonts w:asciiTheme="majorBidi" w:hAnsiTheme="majorBidi" w:cstheme="majorBidi"/>
        </w:rPr>
        <w:fldChar w:fldCharType="end"/>
      </w:r>
      <w:r w:rsidR="0068107A" w:rsidRPr="00856ECB">
        <w:rPr>
          <w:rFonts w:asciiTheme="majorBidi" w:hAnsiTheme="majorBidi" w:cstheme="majorBidi"/>
        </w:rPr>
        <w:t>.</w:t>
      </w:r>
      <w:r w:rsidR="004F6D9D" w:rsidRPr="00856ECB">
        <w:rPr>
          <w:rFonts w:asciiTheme="majorBidi" w:hAnsiTheme="majorBidi" w:cstheme="majorBidi"/>
        </w:rPr>
        <w:t xml:space="preserve"> </w:t>
      </w:r>
      <w:r w:rsidRPr="00856ECB">
        <w:rPr>
          <w:rFonts w:asciiTheme="majorBidi" w:hAnsiTheme="majorBidi" w:cstheme="majorBidi"/>
        </w:rPr>
        <w:t xml:space="preserve">Probiotic strains such as </w:t>
      </w:r>
      <w:r w:rsidRPr="00856ECB">
        <w:rPr>
          <w:rFonts w:asciiTheme="majorBidi" w:hAnsiTheme="majorBidi" w:cstheme="majorBidi"/>
          <w:i/>
          <w:iCs/>
        </w:rPr>
        <w:t xml:space="preserve">B. </w:t>
      </w:r>
      <w:proofErr w:type="spellStart"/>
      <w:r w:rsidRPr="00856ECB">
        <w:rPr>
          <w:rFonts w:asciiTheme="majorBidi" w:hAnsiTheme="majorBidi" w:cstheme="majorBidi"/>
          <w:i/>
          <w:iCs/>
        </w:rPr>
        <w:t>lactis</w:t>
      </w:r>
      <w:proofErr w:type="spellEnd"/>
      <w:r w:rsidRPr="00856ECB">
        <w:rPr>
          <w:rFonts w:asciiTheme="majorBidi" w:hAnsiTheme="majorBidi" w:cstheme="majorBidi"/>
          <w:i/>
          <w:iCs/>
        </w:rPr>
        <w:t xml:space="preserve">, L. </w:t>
      </w:r>
      <w:proofErr w:type="spellStart"/>
      <w:r w:rsidRPr="00856ECB">
        <w:rPr>
          <w:rFonts w:asciiTheme="majorBidi" w:hAnsiTheme="majorBidi" w:cstheme="majorBidi"/>
          <w:i/>
          <w:iCs/>
        </w:rPr>
        <w:t>rhamnosus</w:t>
      </w:r>
      <w:proofErr w:type="spellEnd"/>
      <w:r w:rsidRPr="00856ECB">
        <w:rPr>
          <w:rFonts w:asciiTheme="majorBidi" w:hAnsiTheme="majorBidi" w:cstheme="majorBidi"/>
          <w:i/>
          <w:iCs/>
        </w:rPr>
        <w:t xml:space="preserve">, </w:t>
      </w:r>
      <w:r w:rsidRPr="00856ECB">
        <w:rPr>
          <w:rFonts w:asciiTheme="majorBidi" w:hAnsiTheme="majorBidi" w:cstheme="majorBidi"/>
        </w:rPr>
        <w:t>and</w:t>
      </w:r>
      <w:r w:rsidRPr="00856ECB">
        <w:rPr>
          <w:rFonts w:asciiTheme="majorBidi" w:hAnsiTheme="majorBidi" w:cstheme="majorBidi"/>
          <w:i/>
          <w:iCs/>
        </w:rPr>
        <w:t xml:space="preserve"> L. </w:t>
      </w:r>
      <w:proofErr w:type="spellStart"/>
      <w:r w:rsidRPr="00856ECB">
        <w:rPr>
          <w:rFonts w:asciiTheme="majorBidi" w:hAnsiTheme="majorBidi" w:cstheme="majorBidi"/>
          <w:i/>
          <w:iCs/>
        </w:rPr>
        <w:t>reuteri</w:t>
      </w:r>
      <w:proofErr w:type="spellEnd"/>
      <w:r w:rsidRPr="00856ECB">
        <w:rPr>
          <w:rFonts w:asciiTheme="majorBidi" w:hAnsiTheme="majorBidi" w:cstheme="majorBidi"/>
        </w:rPr>
        <w:t xml:space="preserve"> have also demonstrated potential in modulating the gut-brain axis by reducing </w:t>
      </w:r>
      <w:proofErr w:type="spellStart"/>
      <w:r w:rsidRPr="00856ECB">
        <w:rPr>
          <w:rFonts w:asciiTheme="majorBidi" w:hAnsiTheme="majorBidi" w:cstheme="majorBidi"/>
        </w:rPr>
        <w:t>neuroinflammatory</w:t>
      </w:r>
      <w:proofErr w:type="spellEnd"/>
      <w:r w:rsidRPr="00856ECB">
        <w:rPr>
          <w:rFonts w:asciiTheme="majorBidi" w:hAnsiTheme="majorBidi" w:cstheme="majorBidi"/>
        </w:rPr>
        <w:t xml:space="preserve"> cytokines like interleukin-1β (IL-1β) and interleukin-6 (IL-6) in both the brain and gastrointestinal tract. These effects help preserve intestinal integrity, decrease oxidative stress, and maintain homeostasis, thereby mitigating symptoms of anxiety and supporting overall brain health </w:t>
      </w:r>
      <w:r w:rsidR="00093BA8" w:rsidRPr="00856ECB">
        <w:rPr>
          <w:rFonts w:asciiTheme="majorBidi" w:hAnsiTheme="majorBidi" w:cstheme="majorBidi"/>
        </w:rPr>
        <w:fldChar w:fldCharType="begin"/>
      </w:r>
      <w:r w:rsidR="00093BA8" w:rsidRPr="00856ECB">
        <w:rPr>
          <w:rFonts w:asciiTheme="majorBidi" w:hAnsiTheme="majorBidi" w:cstheme="majorBidi"/>
        </w:rPr>
        <w:instrText xml:space="preserve"> ADDIN EN.CITE &lt;EndNote&gt;&lt;Cite&gt;&lt;Author&gt;Michels&lt;/Author&gt;&lt;Year&gt;2022&lt;/Year&gt;&lt;RecNum&gt;260&lt;/RecNum&gt;&lt;DisplayText&gt;(32)&lt;/DisplayText&gt;&lt;record&gt;&lt;rec-number&gt;260&lt;/rec-number&gt;&lt;foreign-keys&gt;&lt;key app="EN" db-id="exwvr9fd40te9ner0f4ptrrorttf9svzawdd" timestamp="1751816691"&gt;260&lt;/key&gt;&lt;/foreign-keys&gt;&lt;ref-type name="Journal Article"&gt;17&lt;/ref-type&gt;&lt;contributors&gt;&lt;authors&gt;&lt;author&gt;Michels, Monique&lt;/author&gt;&lt;author&gt;Jesus, Gabriel Fernandes Alves&lt;/author&gt;&lt;author&gt;Abatti, Mariane Rocha&lt;/author&gt;&lt;author&gt;Córneo, Emily&lt;/author&gt;&lt;author&gt;Cucker, Luana&lt;/author&gt;&lt;author&gt;de Medeiros Borges, Heloisa&lt;/author&gt;&lt;author&gt;da Silva Matos, Natan&lt;/author&gt;&lt;author&gt;Rocha, Luana Bezerra&lt;/author&gt;&lt;author&gt;Dias, Rodrigo&lt;/author&gt;&lt;author&gt;Simon, Carla Sasso&lt;/author&gt;&lt;/authors&gt;&lt;/contributors&gt;&lt;titles&gt;&lt;title&gt;Effects of different probiotic strains B. lactis, L. rhamnosus and L. reuteri on brain-intestinal axis immunomodulation in an endotoxin-induced inflammation&lt;/title&gt;&lt;secondary-title&gt;Molecular Neurobiology&lt;/secondary-title&gt;&lt;/titles&gt;&lt;periodical&gt;&lt;full-title&gt;Molecular Neurobiology&lt;/full-title&gt;&lt;/periodical&gt;&lt;pages&gt;5168-5178&lt;/pages&gt;&lt;volume&gt;59&lt;/volume&gt;&lt;number&gt;8&lt;/number&gt;&lt;dates&gt;&lt;year&gt;2022&lt;/year&gt;&lt;/dates&gt;&lt;isbn&gt;0893-7648&lt;/isbn&gt;&lt;urls&gt;&lt;/urls&gt;&lt;/record&gt;&lt;/Cite&gt;&lt;/EndNote&gt;</w:instrText>
      </w:r>
      <w:r w:rsidR="00093BA8" w:rsidRPr="00856ECB">
        <w:rPr>
          <w:rFonts w:asciiTheme="majorBidi" w:hAnsiTheme="majorBidi" w:cstheme="majorBidi"/>
        </w:rPr>
        <w:fldChar w:fldCharType="separate"/>
      </w:r>
      <w:r w:rsidR="00093BA8" w:rsidRPr="00856ECB">
        <w:rPr>
          <w:rFonts w:asciiTheme="majorBidi" w:hAnsiTheme="majorBidi" w:cstheme="majorBidi"/>
          <w:noProof/>
        </w:rPr>
        <w:t>(32)</w:t>
      </w:r>
      <w:r w:rsidR="00093BA8" w:rsidRPr="00856ECB">
        <w:rPr>
          <w:rFonts w:asciiTheme="majorBidi" w:hAnsiTheme="majorBidi" w:cstheme="majorBidi"/>
        </w:rPr>
        <w:fldChar w:fldCharType="end"/>
      </w:r>
      <w:r w:rsidR="0068107A" w:rsidRPr="00856ECB">
        <w:rPr>
          <w:rFonts w:asciiTheme="majorBidi" w:hAnsiTheme="majorBidi" w:cstheme="majorBidi"/>
        </w:rPr>
        <w:t xml:space="preserve">. </w:t>
      </w:r>
    </w:p>
    <w:p w14:paraId="1C046B9E" w14:textId="77777777" w:rsidR="00856ECB" w:rsidRPr="00856ECB" w:rsidRDefault="00856ECB" w:rsidP="009A0C39">
      <w:pPr>
        <w:pStyle w:val="NormalWeb"/>
        <w:jc w:val="both"/>
        <w:rPr>
          <w:rFonts w:asciiTheme="majorBidi" w:hAnsiTheme="majorBidi" w:cstheme="majorBidi"/>
        </w:rPr>
      </w:pPr>
    </w:p>
    <w:p w14:paraId="7607FB91" w14:textId="6C646383" w:rsidR="00404FD3" w:rsidRPr="008B5AB2" w:rsidRDefault="00404FD3" w:rsidP="009A0C39">
      <w:pPr>
        <w:pStyle w:val="Heading2"/>
        <w:jc w:val="both"/>
        <w:rPr>
          <w:rFonts w:asciiTheme="majorBidi" w:hAnsiTheme="majorBidi"/>
          <w:i/>
          <w:iCs/>
          <w:sz w:val="24"/>
          <w:szCs w:val="24"/>
        </w:rPr>
      </w:pPr>
      <w:r w:rsidRPr="008B5AB2">
        <w:rPr>
          <w:rFonts w:asciiTheme="majorBidi" w:hAnsiTheme="majorBidi"/>
          <w:i/>
          <w:iCs/>
          <w:sz w:val="24"/>
          <w:szCs w:val="24"/>
        </w:rPr>
        <w:t xml:space="preserve">Pathophysiological </w:t>
      </w:r>
      <w:r w:rsidR="00AF3993" w:rsidRPr="008B5AB2">
        <w:rPr>
          <w:rFonts w:asciiTheme="majorBidi" w:hAnsiTheme="majorBidi"/>
          <w:i/>
          <w:iCs/>
          <w:sz w:val="24"/>
          <w:szCs w:val="24"/>
        </w:rPr>
        <w:t>context</w:t>
      </w:r>
      <w:r w:rsidR="00DA46D6" w:rsidRPr="008B5AB2">
        <w:rPr>
          <w:rFonts w:asciiTheme="majorBidi" w:hAnsiTheme="majorBidi"/>
          <w:i/>
          <w:iCs/>
          <w:sz w:val="24"/>
          <w:szCs w:val="24"/>
        </w:rPr>
        <w:t xml:space="preserve"> of Gut-Brain </w:t>
      </w:r>
      <w:proofErr w:type="spellStart"/>
      <w:r w:rsidR="00DA46D6" w:rsidRPr="008B5AB2">
        <w:rPr>
          <w:rFonts w:asciiTheme="majorBidi" w:hAnsiTheme="majorBidi"/>
          <w:i/>
          <w:iCs/>
          <w:sz w:val="24"/>
          <w:szCs w:val="24"/>
        </w:rPr>
        <w:t>Dysregulation</w:t>
      </w:r>
      <w:proofErr w:type="spellEnd"/>
    </w:p>
    <w:p w14:paraId="71BB9053" w14:textId="3CC4FBB8" w:rsidR="00404FD3" w:rsidRPr="00856ECB" w:rsidRDefault="00DA46D6" w:rsidP="009A0C39">
      <w:pPr>
        <w:pStyle w:val="NormalWeb"/>
        <w:jc w:val="both"/>
        <w:rPr>
          <w:rFonts w:asciiTheme="majorBidi" w:hAnsiTheme="majorBidi" w:cstheme="majorBidi"/>
        </w:rPr>
      </w:pPr>
      <w:proofErr w:type="spellStart"/>
      <w:r w:rsidRPr="00856ECB">
        <w:rPr>
          <w:rFonts w:asciiTheme="majorBidi" w:hAnsiTheme="majorBidi" w:cstheme="majorBidi"/>
        </w:rPr>
        <w:t>Dysbiosis</w:t>
      </w:r>
      <w:proofErr w:type="spellEnd"/>
      <w:r w:rsidRPr="00856ECB">
        <w:rPr>
          <w:rFonts w:asciiTheme="majorBidi" w:hAnsiTheme="majorBidi" w:cstheme="majorBidi"/>
        </w:rPr>
        <w:t xml:space="preserve"> ha</w:t>
      </w:r>
      <w:r w:rsidR="00B87818" w:rsidRPr="00856ECB">
        <w:rPr>
          <w:rFonts w:asciiTheme="majorBidi" w:hAnsiTheme="majorBidi" w:cstheme="majorBidi"/>
        </w:rPr>
        <w:t>s</w:t>
      </w:r>
      <w:r w:rsidRPr="00856ECB">
        <w:rPr>
          <w:rFonts w:asciiTheme="majorBidi" w:hAnsiTheme="majorBidi" w:cstheme="majorBidi"/>
        </w:rPr>
        <w:t xml:space="preserve"> been linked to various neurological and inflammatory disorders</w:t>
      </w:r>
      <w:r w:rsidR="00404FD3" w:rsidRPr="00856ECB">
        <w:rPr>
          <w:rFonts w:asciiTheme="majorBidi" w:hAnsiTheme="majorBidi" w:cstheme="majorBidi"/>
        </w:rPr>
        <w:t xml:space="preserve">. </w:t>
      </w:r>
      <w:r w:rsidRPr="00856ECB">
        <w:rPr>
          <w:rFonts w:asciiTheme="majorBidi" w:hAnsiTheme="majorBidi" w:cstheme="majorBidi"/>
        </w:rPr>
        <w:t xml:space="preserve">In Parkinson’s disease, alterations in gut </w:t>
      </w:r>
      <w:proofErr w:type="spellStart"/>
      <w:r w:rsidRPr="00856ECB">
        <w:rPr>
          <w:rFonts w:asciiTheme="majorBidi" w:hAnsiTheme="majorBidi" w:cstheme="majorBidi"/>
        </w:rPr>
        <w:t>microbiota</w:t>
      </w:r>
      <w:proofErr w:type="spellEnd"/>
      <w:r w:rsidRPr="00856ECB">
        <w:rPr>
          <w:rFonts w:asciiTheme="majorBidi" w:hAnsiTheme="majorBidi" w:cstheme="majorBidi"/>
        </w:rPr>
        <w:t xml:space="preserve"> composition can affect neurotransmitter production and promote inflammation, contributing to disease progression. Similarly, in Alzheimer’s disease, reductions in beneficial phyla such as </w:t>
      </w:r>
      <w:proofErr w:type="spellStart"/>
      <w:r w:rsidRPr="00856ECB">
        <w:rPr>
          <w:rFonts w:asciiTheme="majorBidi" w:hAnsiTheme="majorBidi" w:cstheme="majorBidi"/>
          <w:i/>
          <w:iCs/>
        </w:rPr>
        <w:t>Actinobacteria</w:t>
      </w:r>
      <w:proofErr w:type="spellEnd"/>
      <w:r w:rsidRPr="00856ECB">
        <w:rPr>
          <w:rFonts w:asciiTheme="majorBidi" w:hAnsiTheme="majorBidi" w:cstheme="majorBidi"/>
          <w:i/>
          <w:iCs/>
        </w:rPr>
        <w:t xml:space="preserve"> </w:t>
      </w:r>
      <w:r w:rsidRPr="00856ECB">
        <w:rPr>
          <w:rFonts w:asciiTheme="majorBidi" w:hAnsiTheme="majorBidi" w:cstheme="majorBidi"/>
        </w:rPr>
        <w:t>and</w:t>
      </w:r>
      <w:r w:rsidRPr="00856ECB">
        <w:rPr>
          <w:rFonts w:asciiTheme="majorBidi" w:hAnsiTheme="majorBidi" w:cstheme="majorBidi"/>
          <w:i/>
          <w:iCs/>
        </w:rPr>
        <w:t xml:space="preserve"> </w:t>
      </w:r>
      <w:proofErr w:type="spellStart"/>
      <w:r w:rsidRPr="00856ECB">
        <w:rPr>
          <w:rFonts w:asciiTheme="majorBidi" w:hAnsiTheme="majorBidi" w:cstheme="majorBidi"/>
          <w:i/>
          <w:iCs/>
        </w:rPr>
        <w:t>Firmicutes</w:t>
      </w:r>
      <w:proofErr w:type="spellEnd"/>
      <w:r w:rsidRPr="00856ECB">
        <w:rPr>
          <w:rFonts w:asciiTheme="majorBidi" w:hAnsiTheme="majorBidi" w:cstheme="majorBidi"/>
        </w:rPr>
        <w:t xml:space="preserve"> are associated with increased gut permeability and systemic inflammation </w:t>
      </w:r>
      <w:r w:rsidR="00261DEF" w:rsidRPr="00856ECB">
        <w:rPr>
          <w:rFonts w:asciiTheme="majorBidi" w:hAnsiTheme="majorBidi" w:cstheme="majorBidi"/>
        </w:rPr>
        <w:fldChar w:fldCharType="begin"/>
      </w:r>
      <w:r w:rsidR="00B87818" w:rsidRPr="00856ECB">
        <w:rPr>
          <w:rFonts w:asciiTheme="majorBidi" w:hAnsiTheme="majorBidi" w:cstheme="majorBidi"/>
        </w:rPr>
        <w:instrText xml:space="preserve"> ADDIN EN.CITE &lt;EndNote&gt;&lt;Cite&gt;&lt;Author&gt;Yang&lt;/Author&gt;&lt;Year&gt;2024&lt;/Year&gt;&lt;RecNum&gt;315&lt;/RecNum&gt;&lt;DisplayText&gt;(33)&lt;/DisplayText&gt;&lt;record&gt;&lt;rec-number&gt;315&lt;/rec-number&gt;&lt;foreign-keys&gt;&lt;key app="EN" db-id="exwvr9fd40te9ner0f4ptrrorttf9svzawdd" timestamp="1751910904"&gt;315&lt;/key&gt;&lt;/foreign-keys&gt;&lt;ref-type name="Journal Article"&gt;17&lt;/ref-type&gt;&lt;contributors&gt;&lt;authors&gt;&lt;author&gt;Yang, Jianshe&lt;/author&gt;&lt;author&gt;Liang, Junyi&lt;/author&gt;&lt;author&gt;Hu, Niyuan&lt;/author&gt;&lt;author&gt;He, Ningjuan&lt;/author&gt;&lt;author&gt;Liu, Bin&lt;/author&gt;&lt;author&gt;Liu, Guoliang&lt;/author&gt;&lt;author&gt;Qin, Ying&lt;/author&gt;&lt;/authors&gt;&lt;/contributors&gt;&lt;titles&gt;&lt;title&gt;The gut microbiota modulates neuroinflammation in Alzheimer&amp;apos;s disease: elucidating crucial factors and mechanistic underpinnings&lt;/title&gt;&lt;secondary-title&gt;CNS Neuroscience &amp;amp; Therapeutics&lt;/secondary-title&gt;&lt;/titles&gt;&lt;periodical&gt;&lt;full-title&gt;CNS Neuroscience &amp;amp; Therapeutics&lt;/full-title&gt;&lt;/periodical&gt;&lt;pages&gt;e70091&lt;/pages&gt;&lt;volume&gt;30&lt;/volume&gt;&lt;number&gt;10&lt;/number&gt;&lt;dates&gt;&lt;year&gt;2024&lt;/year&gt;&lt;/dates&gt;&lt;isbn&gt;1755-5930&lt;/isbn&gt;&lt;urls&gt;&lt;/urls&gt;&lt;/record&gt;&lt;/Cite&gt;&lt;/EndNote&gt;</w:instrText>
      </w:r>
      <w:r w:rsidR="00261DEF" w:rsidRPr="00856ECB">
        <w:rPr>
          <w:rFonts w:asciiTheme="majorBidi" w:hAnsiTheme="majorBidi" w:cstheme="majorBidi"/>
        </w:rPr>
        <w:fldChar w:fldCharType="separate"/>
      </w:r>
      <w:r w:rsidR="00B87818" w:rsidRPr="00856ECB">
        <w:rPr>
          <w:rFonts w:asciiTheme="majorBidi" w:hAnsiTheme="majorBidi" w:cstheme="majorBidi"/>
          <w:noProof/>
        </w:rPr>
        <w:t>(33)</w:t>
      </w:r>
      <w:r w:rsidR="00261DEF" w:rsidRPr="00856ECB">
        <w:rPr>
          <w:rFonts w:asciiTheme="majorBidi" w:hAnsiTheme="majorBidi" w:cstheme="majorBidi"/>
        </w:rPr>
        <w:fldChar w:fldCharType="end"/>
      </w:r>
      <w:r w:rsidR="00404FD3" w:rsidRPr="00856ECB">
        <w:rPr>
          <w:rFonts w:asciiTheme="majorBidi" w:hAnsiTheme="majorBidi" w:cstheme="majorBidi"/>
        </w:rPr>
        <w:t xml:space="preserve">. </w:t>
      </w:r>
      <w:r w:rsidRPr="00856ECB">
        <w:rPr>
          <w:rFonts w:asciiTheme="majorBidi" w:hAnsiTheme="majorBidi" w:cstheme="majorBidi"/>
        </w:rPr>
        <w:t>In multiple sclerosis</w:t>
      </w:r>
      <w:r w:rsidR="00B87818" w:rsidRPr="00856ECB">
        <w:rPr>
          <w:rFonts w:asciiTheme="majorBidi" w:hAnsiTheme="majorBidi" w:cstheme="majorBidi"/>
        </w:rPr>
        <w:t xml:space="preserve"> (MS)</w:t>
      </w:r>
      <w:r w:rsidRPr="00856ECB">
        <w:rPr>
          <w:rFonts w:asciiTheme="majorBidi" w:hAnsiTheme="majorBidi" w:cstheme="majorBidi"/>
        </w:rPr>
        <w:t xml:space="preserve">, gut </w:t>
      </w:r>
      <w:proofErr w:type="spellStart"/>
      <w:r w:rsidRPr="00856ECB">
        <w:rPr>
          <w:rFonts w:asciiTheme="majorBidi" w:hAnsiTheme="majorBidi" w:cstheme="majorBidi"/>
        </w:rPr>
        <w:t>dysbiosis</w:t>
      </w:r>
      <w:proofErr w:type="spellEnd"/>
      <w:r w:rsidRPr="00856ECB">
        <w:rPr>
          <w:rFonts w:asciiTheme="majorBidi" w:hAnsiTheme="majorBidi" w:cstheme="majorBidi"/>
        </w:rPr>
        <w:t xml:space="preserve"> characterized by elevated levels of </w:t>
      </w:r>
      <w:proofErr w:type="spellStart"/>
      <w:r w:rsidRPr="00856ECB">
        <w:rPr>
          <w:rFonts w:asciiTheme="majorBidi" w:hAnsiTheme="majorBidi" w:cstheme="majorBidi"/>
          <w:i/>
          <w:iCs/>
        </w:rPr>
        <w:t>Bacteroides</w:t>
      </w:r>
      <w:proofErr w:type="spellEnd"/>
      <w:r w:rsidRPr="00856ECB">
        <w:rPr>
          <w:rFonts w:asciiTheme="majorBidi" w:hAnsiTheme="majorBidi" w:cstheme="majorBidi"/>
          <w:i/>
          <w:iCs/>
        </w:rPr>
        <w:t xml:space="preserve">, </w:t>
      </w:r>
      <w:proofErr w:type="spellStart"/>
      <w:r w:rsidRPr="00856ECB">
        <w:rPr>
          <w:rFonts w:asciiTheme="majorBidi" w:hAnsiTheme="majorBidi" w:cstheme="majorBidi"/>
          <w:i/>
          <w:iCs/>
        </w:rPr>
        <w:t>Prevotella</w:t>
      </w:r>
      <w:proofErr w:type="spellEnd"/>
      <w:r w:rsidRPr="00856ECB">
        <w:rPr>
          <w:rFonts w:asciiTheme="majorBidi" w:hAnsiTheme="majorBidi" w:cstheme="majorBidi"/>
          <w:i/>
          <w:iCs/>
        </w:rPr>
        <w:t xml:space="preserve">, </w:t>
      </w:r>
      <w:r w:rsidRPr="00856ECB">
        <w:rPr>
          <w:rFonts w:asciiTheme="majorBidi" w:hAnsiTheme="majorBidi" w:cstheme="majorBidi"/>
        </w:rPr>
        <w:t>and</w:t>
      </w:r>
      <w:r w:rsidRPr="00856ECB">
        <w:rPr>
          <w:rFonts w:asciiTheme="majorBidi" w:hAnsiTheme="majorBidi" w:cstheme="majorBidi"/>
          <w:i/>
          <w:iCs/>
        </w:rPr>
        <w:t xml:space="preserve"> Streptococcus </w:t>
      </w:r>
      <w:proofErr w:type="spellStart"/>
      <w:r w:rsidRPr="00856ECB">
        <w:rPr>
          <w:rFonts w:asciiTheme="majorBidi" w:hAnsiTheme="majorBidi" w:cstheme="majorBidi"/>
          <w:i/>
          <w:iCs/>
        </w:rPr>
        <w:t>thermophilus</w:t>
      </w:r>
      <w:proofErr w:type="spellEnd"/>
      <w:r w:rsidRPr="00856ECB">
        <w:rPr>
          <w:rFonts w:asciiTheme="majorBidi" w:hAnsiTheme="majorBidi" w:cstheme="majorBidi"/>
        </w:rPr>
        <w:t xml:space="preserve"> has been linked to immune </w:t>
      </w:r>
      <w:proofErr w:type="spellStart"/>
      <w:r w:rsidRPr="00856ECB">
        <w:rPr>
          <w:rFonts w:asciiTheme="majorBidi" w:hAnsiTheme="majorBidi" w:cstheme="majorBidi"/>
        </w:rPr>
        <w:t>dysregulation</w:t>
      </w:r>
      <w:proofErr w:type="spellEnd"/>
      <w:r w:rsidRPr="00856ECB">
        <w:rPr>
          <w:rFonts w:asciiTheme="majorBidi" w:hAnsiTheme="majorBidi" w:cstheme="majorBidi"/>
        </w:rPr>
        <w:t xml:space="preserve"> and disease advancement. Decreased </w:t>
      </w:r>
      <w:r w:rsidRPr="00856ECB">
        <w:rPr>
          <w:rFonts w:asciiTheme="majorBidi" w:hAnsiTheme="majorBidi" w:cstheme="majorBidi"/>
        </w:rPr>
        <w:lastRenderedPageBreak/>
        <w:t xml:space="preserve">populations of butyrate-producing </w:t>
      </w:r>
      <w:proofErr w:type="spellStart"/>
      <w:r w:rsidRPr="00856ECB">
        <w:rPr>
          <w:rFonts w:asciiTheme="majorBidi" w:hAnsiTheme="majorBidi" w:cstheme="majorBidi"/>
          <w:i/>
          <w:iCs/>
        </w:rPr>
        <w:t>Firmicutes</w:t>
      </w:r>
      <w:proofErr w:type="spellEnd"/>
      <w:r w:rsidRPr="00856ECB">
        <w:rPr>
          <w:rFonts w:asciiTheme="majorBidi" w:hAnsiTheme="majorBidi" w:cstheme="majorBidi"/>
          <w:i/>
          <w:iCs/>
        </w:rPr>
        <w:t xml:space="preserve"> </w:t>
      </w:r>
      <w:r w:rsidRPr="00856ECB">
        <w:rPr>
          <w:rFonts w:asciiTheme="majorBidi" w:hAnsiTheme="majorBidi" w:cstheme="majorBidi"/>
        </w:rPr>
        <w:t>and compromised intestinal integrity may also impair the blood-brain barrier</w:t>
      </w:r>
      <w:r w:rsidR="00404FD3" w:rsidRPr="00856ECB">
        <w:rPr>
          <w:rFonts w:asciiTheme="majorBidi" w:hAnsiTheme="majorBidi" w:cstheme="majorBidi"/>
        </w:rPr>
        <w:t xml:space="preserve"> </w:t>
      </w:r>
      <w:r w:rsidR="00261DEF" w:rsidRPr="00856ECB">
        <w:rPr>
          <w:rFonts w:asciiTheme="majorBidi" w:hAnsiTheme="majorBidi" w:cstheme="majorBidi"/>
        </w:rPr>
        <w:fldChar w:fldCharType="begin"/>
      </w:r>
      <w:r w:rsidR="00B87818" w:rsidRPr="00856ECB">
        <w:rPr>
          <w:rFonts w:asciiTheme="majorBidi" w:hAnsiTheme="majorBidi" w:cstheme="majorBidi"/>
        </w:rPr>
        <w:instrText xml:space="preserve"> ADDIN EN.CITE &lt;EndNote&gt;&lt;Cite&gt;&lt;Author&gt;Barcutean&lt;/Author&gt;&lt;Year&gt;2024&lt;/Year&gt;&lt;RecNum&gt;317&lt;/RecNum&gt;&lt;DisplayText&gt;(34)&lt;/DisplayText&gt;&lt;record&gt;&lt;rec-number&gt;317&lt;/rec-number&gt;&lt;foreign-keys&gt;&lt;key app="EN" db-id="exwvr9fd40te9ner0f4ptrrorttf9svzawdd" timestamp="1751911089"&gt;317&lt;/key&gt;&lt;/foreign-keys&gt;&lt;ref-type name="Journal Article"&gt;17&lt;/ref-type&gt;&lt;contributors&gt;&lt;authors&gt;&lt;author&gt;Barcutean, Laura&lt;/author&gt;&lt;author&gt;Maier, Smaranda&lt;/author&gt;&lt;author&gt;Burai-Patrascu, Mihai&lt;/author&gt;&lt;author&gt;Farczadi, Lenard&lt;/author&gt;&lt;author&gt;Balasa, Rodica&lt;/author&gt;&lt;/authors&gt;&lt;/contributors&gt;&lt;titles&gt;&lt;title&gt;The immunomodulatory potential of short-chain fatty acids in multiple sclerosis&lt;/title&gt;&lt;secondary-title&gt;International Journal of Molecular Sciences&lt;/secondary-title&gt;&lt;/titles&gt;&lt;periodical&gt;&lt;full-title&gt;International journal of molecular sciences&lt;/full-title&gt;&lt;/periodical&gt;&lt;pages&gt;3198&lt;/pages&gt;&lt;volume&gt;25&lt;/volume&gt;&lt;number&gt;6&lt;/number&gt;&lt;dates&gt;&lt;year&gt;2024&lt;/year&gt;&lt;/dates&gt;&lt;isbn&gt;1422-0067&lt;/isbn&gt;&lt;urls&gt;&lt;/urls&gt;&lt;/record&gt;&lt;/Cite&gt;&lt;/EndNote&gt;</w:instrText>
      </w:r>
      <w:r w:rsidR="00261DEF" w:rsidRPr="00856ECB">
        <w:rPr>
          <w:rFonts w:asciiTheme="majorBidi" w:hAnsiTheme="majorBidi" w:cstheme="majorBidi"/>
        </w:rPr>
        <w:fldChar w:fldCharType="separate"/>
      </w:r>
      <w:r w:rsidR="00B87818" w:rsidRPr="00856ECB">
        <w:rPr>
          <w:rFonts w:asciiTheme="majorBidi" w:hAnsiTheme="majorBidi" w:cstheme="majorBidi"/>
          <w:noProof/>
        </w:rPr>
        <w:t>(34)</w:t>
      </w:r>
      <w:r w:rsidR="00261DEF" w:rsidRPr="00856ECB">
        <w:rPr>
          <w:rFonts w:asciiTheme="majorBidi" w:hAnsiTheme="majorBidi" w:cstheme="majorBidi"/>
        </w:rPr>
        <w:fldChar w:fldCharType="end"/>
      </w:r>
      <w:r w:rsidR="00404FD3" w:rsidRPr="00856ECB">
        <w:rPr>
          <w:rFonts w:asciiTheme="majorBidi" w:hAnsiTheme="majorBidi" w:cstheme="majorBidi"/>
        </w:rPr>
        <w:t xml:space="preserve">. </w:t>
      </w:r>
    </w:p>
    <w:p w14:paraId="1C38DE81" w14:textId="7158FC9B" w:rsidR="00AF3993" w:rsidRPr="00856ECB" w:rsidRDefault="00DA46D6" w:rsidP="009A0C39">
      <w:pPr>
        <w:pStyle w:val="NormalWeb"/>
        <w:jc w:val="both"/>
        <w:rPr>
          <w:rFonts w:asciiTheme="majorBidi" w:hAnsiTheme="majorBidi" w:cstheme="majorBidi"/>
        </w:rPr>
      </w:pPr>
      <w:r w:rsidRPr="00856ECB">
        <w:rPr>
          <w:rFonts w:asciiTheme="majorBidi" w:hAnsiTheme="majorBidi" w:cstheme="majorBidi"/>
        </w:rPr>
        <w:t xml:space="preserve">Major depressive disorder (MDD) and generalized anxiety disorder (GAD) frequently co-occur with chronic conditions such as fibromyalgia and autoimmune diseases, amplifying symptoms and disability. These psychiatric disorders are associated with </w:t>
      </w:r>
      <w:proofErr w:type="spellStart"/>
      <w:r w:rsidRPr="00856ECB">
        <w:rPr>
          <w:rFonts w:asciiTheme="majorBidi" w:hAnsiTheme="majorBidi" w:cstheme="majorBidi"/>
        </w:rPr>
        <w:t>dysregulation</w:t>
      </w:r>
      <w:proofErr w:type="spellEnd"/>
      <w:r w:rsidRPr="00856ECB">
        <w:rPr>
          <w:rFonts w:asciiTheme="majorBidi" w:hAnsiTheme="majorBidi" w:cstheme="majorBidi"/>
        </w:rPr>
        <w:t xml:space="preserve"> of the hypothalamic-pituitary-adrenal (HPA) axis and are influenced by microbial endotoxins and inflammatory cytokines like IL-6 and tumor necrosis factor-alpha (TNF-α). Alterations in gut </w:t>
      </w:r>
      <w:proofErr w:type="spellStart"/>
      <w:r w:rsidRPr="00856ECB">
        <w:rPr>
          <w:rFonts w:asciiTheme="majorBidi" w:hAnsiTheme="majorBidi" w:cstheme="majorBidi"/>
        </w:rPr>
        <w:t>microbiota</w:t>
      </w:r>
      <w:proofErr w:type="spellEnd"/>
      <w:r w:rsidRPr="00856ECB">
        <w:rPr>
          <w:rFonts w:asciiTheme="majorBidi" w:hAnsiTheme="majorBidi" w:cstheme="majorBidi"/>
        </w:rPr>
        <w:t xml:space="preserve">—particularly increased </w:t>
      </w:r>
      <w:proofErr w:type="spellStart"/>
      <w:r w:rsidRPr="00856ECB">
        <w:rPr>
          <w:rFonts w:asciiTheme="majorBidi" w:hAnsiTheme="majorBidi" w:cstheme="majorBidi"/>
          <w:i/>
          <w:iCs/>
        </w:rPr>
        <w:t>Bacteroidetes</w:t>
      </w:r>
      <w:proofErr w:type="spellEnd"/>
      <w:r w:rsidRPr="00856ECB">
        <w:rPr>
          <w:rFonts w:asciiTheme="majorBidi" w:hAnsiTheme="majorBidi" w:cstheme="majorBidi"/>
          <w:i/>
          <w:iCs/>
        </w:rPr>
        <w:t xml:space="preserve"> </w:t>
      </w:r>
      <w:r w:rsidRPr="00856ECB">
        <w:rPr>
          <w:rFonts w:asciiTheme="majorBidi" w:hAnsiTheme="majorBidi" w:cstheme="majorBidi"/>
        </w:rPr>
        <w:t>and</w:t>
      </w:r>
      <w:r w:rsidRPr="00856ECB">
        <w:rPr>
          <w:rFonts w:asciiTheme="majorBidi" w:hAnsiTheme="majorBidi" w:cstheme="majorBidi"/>
          <w:i/>
          <w:iCs/>
        </w:rPr>
        <w:t xml:space="preserve"> </w:t>
      </w:r>
      <w:proofErr w:type="spellStart"/>
      <w:r w:rsidRPr="00856ECB">
        <w:rPr>
          <w:rFonts w:asciiTheme="majorBidi" w:hAnsiTheme="majorBidi" w:cstheme="majorBidi"/>
          <w:i/>
          <w:iCs/>
        </w:rPr>
        <w:t>Proteobacteria</w:t>
      </w:r>
      <w:proofErr w:type="spellEnd"/>
      <w:r w:rsidRPr="00856ECB">
        <w:rPr>
          <w:rFonts w:asciiTheme="majorBidi" w:hAnsiTheme="majorBidi" w:cstheme="majorBidi"/>
        </w:rPr>
        <w:t xml:space="preserve"> and decreased </w:t>
      </w:r>
      <w:proofErr w:type="spellStart"/>
      <w:r w:rsidRPr="00856ECB">
        <w:rPr>
          <w:rFonts w:asciiTheme="majorBidi" w:hAnsiTheme="majorBidi" w:cstheme="majorBidi"/>
          <w:i/>
          <w:iCs/>
        </w:rPr>
        <w:t>Firmicutes</w:t>
      </w:r>
      <w:proofErr w:type="spellEnd"/>
      <w:r w:rsidRPr="00856ECB">
        <w:rPr>
          <w:rFonts w:asciiTheme="majorBidi" w:hAnsiTheme="majorBidi" w:cstheme="majorBidi"/>
        </w:rPr>
        <w:t xml:space="preserve">—have been reported in individuals with MDD </w:t>
      </w:r>
      <w:r w:rsidR="00261DEF" w:rsidRPr="00856ECB">
        <w:rPr>
          <w:rFonts w:asciiTheme="majorBidi" w:hAnsiTheme="majorBidi" w:cstheme="majorBidi"/>
        </w:rPr>
        <w:fldChar w:fldCharType="begin"/>
      </w:r>
      <w:r w:rsidR="00B87818" w:rsidRPr="00856ECB">
        <w:rPr>
          <w:rFonts w:asciiTheme="majorBidi" w:hAnsiTheme="majorBidi" w:cstheme="majorBidi"/>
        </w:rPr>
        <w:instrText xml:space="preserve"> ADDIN EN.CITE &lt;EndNote&gt;&lt;Cite&gt;&lt;Author&gt;Garvey&lt;/Author&gt;&lt;Year&gt;2023&lt;/Year&gt;&lt;RecNum&gt;313&lt;/RecNum&gt;&lt;DisplayText&gt;(35)&lt;/DisplayText&gt;&lt;record&gt;&lt;rec-number&gt;313&lt;/rec-number&gt;&lt;foreign-keys&gt;&lt;key app="EN" db-id="exwvr9fd40te9ner0f4ptrrorttf9svzawdd" timestamp="1751878808"&gt;313&lt;/key&gt;&lt;/foreign-keys&gt;&lt;ref-type name="Journal Article"&gt;17&lt;/ref-type&gt;&lt;contributors&gt;&lt;authors&gt;&lt;author&gt;Garvey, Mary&lt;/author&gt;&lt;/authors&gt;&lt;/contributors&gt;&lt;titles&gt;&lt;title&gt;The association between dysbiosis and neurological conditions often manifesting with chronic pain&lt;/title&gt;&lt;secondary-title&gt;Biomedicines&lt;/secondary-title&gt;&lt;/titles&gt;&lt;periodical&gt;&lt;full-title&gt;Biomedicines&lt;/full-title&gt;&lt;/periodical&gt;&lt;pages&gt;748&lt;/pages&gt;&lt;volume&gt;11&lt;/volume&gt;&lt;number&gt;3&lt;/number&gt;&lt;dates&gt;&lt;year&gt;2023&lt;/year&gt;&lt;/dates&gt;&lt;isbn&gt;2227-9059&lt;/isbn&gt;&lt;urls&gt;&lt;/urls&gt;&lt;/record&gt;&lt;/Cite&gt;&lt;/EndNote&gt;</w:instrText>
      </w:r>
      <w:r w:rsidR="00261DEF" w:rsidRPr="00856ECB">
        <w:rPr>
          <w:rFonts w:asciiTheme="majorBidi" w:hAnsiTheme="majorBidi" w:cstheme="majorBidi"/>
        </w:rPr>
        <w:fldChar w:fldCharType="separate"/>
      </w:r>
      <w:r w:rsidR="00B87818" w:rsidRPr="00856ECB">
        <w:rPr>
          <w:rFonts w:asciiTheme="majorBidi" w:hAnsiTheme="majorBidi" w:cstheme="majorBidi"/>
          <w:noProof/>
        </w:rPr>
        <w:t>(35)</w:t>
      </w:r>
      <w:r w:rsidR="00261DEF" w:rsidRPr="00856ECB">
        <w:rPr>
          <w:rFonts w:asciiTheme="majorBidi" w:hAnsiTheme="majorBidi" w:cstheme="majorBidi"/>
        </w:rPr>
        <w:fldChar w:fldCharType="end"/>
      </w:r>
      <w:r w:rsidR="00AF3993" w:rsidRPr="00856ECB">
        <w:rPr>
          <w:rFonts w:asciiTheme="majorBidi" w:hAnsiTheme="majorBidi" w:cstheme="majorBidi"/>
        </w:rPr>
        <w:t>.</w:t>
      </w:r>
    </w:p>
    <w:p w14:paraId="439CAEE5" w14:textId="34B42C49" w:rsidR="00404FD3" w:rsidRPr="00856ECB" w:rsidRDefault="00DA46D6" w:rsidP="009A0C39">
      <w:pPr>
        <w:pStyle w:val="NormalWeb"/>
        <w:jc w:val="both"/>
        <w:rPr>
          <w:rFonts w:asciiTheme="majorBidi" w:hAnsiTheme="majorBidi" w:cstheme="majorBidi"/>
        </w:rPr>
      </w:pPr>
      <w:r w:rsidRPr="00856ECB">
        <w:rPr>
          <w:rFonts w:asciiTheme="majorBidi" w:hAnsiTheme="majorBidi" w:cstheme="majorBidi"/>
        </w:rPr>
        <w:t xml:space="preserve">Serotonin imbalance, significantly influenced by microbial activity in the gut, has been implicated in mood disorders including depression. Decreased production of short-chain fatty acids, especially butyrate which possesses antidepressant properties, may exacerbate depressive symptoms. Furthermore, gut-derived inflammation and HPA axis abnormalities further contribute to emotional disturbances </w:t>
      </w:r>
      <w:r w:rsidR="00261DEF" w:rsidRPr="00856ECB">
        <w:rPr>
          <w:rFonts w:asciiTheme="majorBidi" w:hAnsiTheme="majorBidi" w:cstheme="majorBidi"/>
        </w:rPr>
        <w:fldChar w:fldCharType="begin"/>
      </w:r>
      <w:r w:rsidR="00B87818" w:rsidRPr="00856ECB">
        <w:rPr>
          <w:rFonts w:asciiTheme="majorBidi" w:hAnsiTheme="majorBidi" w:cstheme="majorBidi"/>
        </w:rPr>
        <w:instrText xml:space="preserve"> ADDIN EN.CITE &lt;EndNote&gt;&lt;Cite&gt;&lt;Author&gt;Góralczyk-Bińkowska&lt;/Author&gt;&lt;Year&gt;2022&lt;/Year&gt;&lt;RecNum&gt;319&lt;/RecNum&gt;&lt;DisplayText&gt;(36)&lt;/DisplayText&gt;&lt;record&gt;&lt;rec-number&gt;319&lt;/rec-number&gt;&lt;foreign-keys&gt;&lt;key app="EN" db-id="exwvr9fd40te9ner0f4ptrrorttf9svzawdd" timestamp="1751911614"&gt;319&lt;/key&gt;&lt;/foreign-keys&gt;&lt;ref-type name="Journal Article"&gt;17&lt;/ref-type&gt;&lt;contributors&gt;&lt;authors&gt;&lt;author&gt;Góralczyk-Bińkowska, Aleksandra&lt;/author&gt;&lt;author&gt;Szmajda-Krygier, Dagmara&lt;/author&gt;&lt;author&gt;Kozłowska, Elżbieta&lt;/author&gt;&lt;/authors&gt;&lt;/contributors&gt;&lt;titles&gt;&lt;title&gt;The microbiota–gut–brain axis in psychiatric disorders&lt;/title&gt;&lt;secondary-title&gt;International journal of molecular sciences&lt;/secondary-title&gt;&lt;/titles&gt;&lt;periodical&gt;&lt;full-title&gt;International journal of molecular sciences&lt;/full-title&gt;&lt;/periodical&gt;&lt;pages&gt;11245&lt;/pages&gt;&lt;volume&gt;23&lt;/volume&gt;&lt;number&gt;19&lt;/number&gt;&lt;dates&gt;&lt;year&gt;2022&lt;/year&gt;&lt;/dates&gt;&lt;isbn&gt;1422-0067&lt;/isbn&gt;&lt;urls&gt;&lt;/urls&gt;&lt;/record&gt;&lt;/Cite&gt;&lt;/EndNote&gt;</w:instrText>
      </w:r>
      <w:r w:rsidR="00261DEF" w:rsidRPr="00856ECB">
        <w:rPr>
          <w:rFonts w:asciiTheme="majorBidi" w:hAnsiTheme="majorBidi" w:cstheme="majorBidi"/>
        </w:rPr>
        <w:fldChar w:fldCharType="separate"/>
      </w:r>
      <w:r w:rsidR="00B87818" w:rsidRPr="00856ECB">
        <w:rPr>
          <w:rFonts w:asciiTheme="majorBidi" w:hAnsiTheme="majorBidi" w:cstheme="majorBidi"/>
          <w:noProof/>
        </w:rPr>
        <w:t>(36)</w:t>
      </w:r>
      <w:r w:rsidR="00261DEF" w:rsidRPr="00856ECB">
        <w:rPr>
          <w:rFonts w:asciiTheme="majorBidi" w:hAnsiTheme="majorBidi" w:cstheme="majorBidi"/>
        </w:rPr>
        <w:fldChar w:fldCharType="end"/>
      </w:r>
      <w:r w:rsidR="00404FD3" w:rsidRPr="00856ECB">
        <w:rPr>
          <w:rFonts w:asciiTheme="majorBidi" w:hAnsiTheme="majorBidi" w:cstheme="majorBidi"/>
        </w:rPr>
        <w:t xml:space="preserve">. </w:t>
      </w:r>
    </w:p>
    <w:p w14:paraId="6CEE7303" w14:textId="0981BD2A" w:rsidR="00404FD3" w:rsidRPr="00856ECB" w:rsidRDefault="00DA46D6" w:rsidP="009A0C39">
      <w:pPr>
        <w:pStyle w:val="NormalWeb"/>
        <w:jc w:val="both"/>
        <w:rPr>
          <w:rFonts w:asciiTheme="majorBidi" w:hAnsiTheme="majorBidi" w:cstheme="majorBidi"/>
        </w:rPr>
      </w:pPr>
      <w:r w:rsidRPr="00856ECB">
        <w:rPr>
          <w:rFonts w:asciiTheme="majorBidi" w:hAnsiTheme="majorBidi" w:cstheme="majorBidi"/>
        </w:rPr>
        <w:t xml:space="preserve">While the exact pathogenesis of inflammatory bowel disease remains under investigation, strong evidence supports a role for the gut </w:t>
      </w:r>
      <w:proofErr w:type="spellStart"/>
      <w:r w:rsidRPr="00856ECB">
        <w:rPr>
          <w:rFonts w:asciiTheme="majorBidi" w:hAnsiTheme="majorBidi" w:cstheme="majorBidi"/>
        </w:rPr>
        <w:t>microbiota</w:t>
      </w:r>
      <w:proofErr w:type="spellEnd"/>
      <w:r w:rsidRPr="00856ECB">
        <w:rPr>
          <w:rFonts w:asciiTheme="majorBidi" w:hAnsiTheme="majorBidi" w:cstheme="majorBidi"/>
        </w:rPr>
        <w:t xml:space="preserve">. Individuals with IBD commonly exhibit reduced microbial diversity, lower levels of beneficial phyla such as </w:t>
      </w:r>
      <w:proofErr w:type="spellStart"/>
      <w:r w:rsidRPr="00856ECB">
        <w:rPr>
          <w:rFonts w:asciiTheme="majorBidi" w:hAnsiTheme="majorBidi" w:cstheme="majorBidi"/>
          <w:i/>
          <w:iCs/>
        </w:rPr>
        <w:t>Bacteroidetes</w:t>
      </w:r>
      <w:proofErr w:type="spellEnd"/>
      <w:r w:rsidRPr="00856ECB">
        <w:rPr>
          <w:rFonts w:asciiTheme="majorBidi" w:hAnsiTheme="majorBidi" w:cstheme="majorBidi"/>
          <w:i/>
          <w:iCs/>
        </w:rPr>
        <w:t xml:space="preserve"> </w:t>
      </w:r>
      <w:r w:rsidRPr="00856ECB">
        <w:rPr>
          <w:rFonts w:asciiTheme="majorBidi" w:hAnsiTheme="majorBidi" w:cstheme="majorBidi"/>
        </w:rPr>
        <w:t>and</w:t>
      </w:r>
      <w:r w:rsidRPr="00856ECB">
        <w:rPr>
          <w:rFonts w:asciiTheme="majorBidi" w:hAnsiTheme="majorBidi" w:cstheme="majorBidi"/>
          <w:i/>
          <w:iCs/>
        </w:rPr>
        <w:t xml:space="preserve"> </w:t>
      </w:r>
      <w:proofErr w:type="spellStart"/>
      <w:r w:rsidRPr="00856ECB">
        <w:rPr>
          <w:rFonts w:asciiTheme="majorBidi" w:hAnsiTheme="majorBidi" w:cstheme="majorBidi"/>
          <w:i/>
          <w:iCs/>
        </w:rPr>
        <w:t>Firmicutes</w:t>
      </w:r>
      <w:proofErr w:type="spellEnd"/>
      <w:r w:rsidRPr="00856ECB">
        <w:rPr>
          <w:rFonts w:asciiTheme="majorBidi" w:hAnsiTheme="majorBidi" w:cstheme="majorBidi"/>
        </w:rPr>
        <w:t xml:space="preserve">, and increased levels of </w:t>
      </w:r>
      <w:proofErr w:type="spellStart"/>
      <w:r w:rsidRPr="00856ECB">
        <w:rPr>
          <w:rFonts w:asciiTheme="majorBidi" w:hAnsiTheme="majorBidi" w:cstheme="majorBidi"/>
          <w:i/>
          <w:iCs/>
        </w:rPr>
        <w:t>Proteobacteria</w:t>
      </w:r>
      <w:proofErr w:type="spellEnd"/>
      <w:r w:rsidRPr="00856ECB">
        <w:rPr>
          <w:rFonts w:asciiTheme="majorBidi" w:hAnsiTheme="majorBidi" w:cstheme="majorBidi"/>
        </w:rPr>
        <w:t xml:space="preserve">, notably </w:t>
      </w:r>
      <w:r w:rsidRPr="00856ECB">
        <w:rPr>
          <w:rFonts w:asciiTheme="majorBidi" w:hAnsiTheme="majorBidi" w:cstheme="majorBidi"/>
          <w:i/>
          <w:iCs/>
        </w:rPr>
        <w:t>Escherichia coli</w:t>
      </w:r>
      <w:r w:rsidRPr="00856ECB">
        <w:rPr>
          <w:rFonts w:asciiTheme="majorBidi" w:hAnsiTheme="majorBidi" w:cstheme="majorBidi"/>
        </w:rPr>
        <w:t xml:space="preserve">. Commensal species like </w:t>
      </w:r>
      <w:proofErr w:type="spellStart"/>
      <w:r w:rsidRPr="00856ECB">
        <w:rPr>
          <w:rFonts w:asciiTheme="majorBidi" w:hAnsiTheme="majorBidi" w:cstheme="majorBidi"/>
          <w:i/>
          <w:iCs/>
        </w:rPr>
        <w:t>Faecalibacterium</w:t>
      </w:r>
      <w:proofErr w:type="spellEnd"/>
      <w:r w:rsidRPr="00856ECB">
        <w:rPr>
          <w:rFonts w:asciiTheme="majorBidi" w:hAnsiTheme="majorBidi" w:cstheme="majorBidi"/>
          <w:i/>
          <w:iCs/>
        </w:rPr>
        <w:t xml:space="preserve"> </w:t>
      </w:r>
      <w:proofErr w:type="spellStart"/>
      <w:r w:rsidRPr="00856ECB">
        <w:rPr>
          <w:rFonts w:asciiTheme="majorBidi" w:hAnsiTheme="majorBidi" w:cstheme="majorBidi"/>
          <w:i/>
          <w:iCs/>
        </w:rPr>
        <w:t>prausnitzii</w:t>
      </w:r>
      <w:proofErr w:type="spellEnd"/>
      <w:r w:rsidRPr="00856ECB">
        <w:rPr>
          <w:rFonts w:asciiTheme="majorBidi" w:hAnsiTheme="majorBidi" w:cstheme="majorBidi"/>
          <w:i/>
          <w:iCs/>
        </w:rPr>
        <w:t xml:space="preserve"> </w:t>
      </w:r>
      <w:r w:rsidRPr="00856ECB">
        <w:rPr>
          <w:rFonts w:asciiTheme="majorBidi" w:hAnsiTheme="majorBidi" w:cstheme="majorBidi"/>
        </w:rPr>
        <w:t xml:space="preserve">and </w:t>
      </w:r>
      <w:proofErr w:type="spellStart"/>
      <w:r w:rsidRPr="00856ECB">
        <w:rPr>
          <w:rFonts w:asciiTheme="majorBidi" w:hAnsiTheme="majorBidi" w:cstheme="majorBidi"/>
          <w:i/>
          <w:iCs/>
        </w:rPr>
        <w:t>Roseburia</w:t>
      </w:r>
      <w:proofErr w:type="spellEnd"/>
      <w:r w:rsidRPr="00856ECB">
        <w:rPr>
          <w:rFonts w:asciiTheme="majorBidi" w:hAnsiTheme="majorBidi" w:cstheme="majorBidi"/>
        </w:rPr>
        <w:t xml:space="preserve"> </w:t>
      </w:r>
      <w:proofErr w:type="spellStart"/>
      <w:r w:rsidRPr="00856ECB">
        <w:rPr>
          <w:rFonts w:asciiTheme="majorBidi" w:hAnsiTheme="majorBidi" w:cstheme="majorBidi"/>
        </w:rPr>
        <w:t>hominis</w:t>
      </w:r>
      <w:proofErr w:type="spellEnd"/>
      <w:r w:rsidRPr="00856ECB">
        <w:rPr>
          <w:rFonts w:asciiTheme="majorBidi" w:hAnsiTheme="majorBidi" w:cstheme="majorBidi"/>
        </w:rPr>
        <w:t xml:space="preserve"> are frequently diminished </w:t>
      </w:r>
      <w:r w:rsidR="00261DEF" w:rsidRPr="00856ECB">
        <w:rPr>
          <w:rFonts w:asciiTheme="majorBidi" w:hAnsiTheme="majorBidi" w:cstheme="majorBidi"/>
        </w:rPr>
        <w:fldChar w:fldCharType="begin"/>
      </w:r>
      <w:r w:rsidR="00B87818" w:rsidRPr="00856ECB">
        <w:rPr>
          <w:rFonts w:asciiTheme="majorBidi" w:hAnsiTheme="majorBidi" w:cstheme="majorBidi"/>
        </w:rPr>
        <w:instrText xml:space="preserve"> ADDIN EN.CITE &lt;EndNote&gt;&lt;Cite&gt;&lt;Author&gt;Santana&lt;/Author&gt;&lt;Year&gt;2022&lt;/Year&gt;&lt;RecNum&gt;361&lt;/RecNum&gt;&lt;DisplayText&gt;(37)&lt;/DisplayText&gt;&lt;record&gt;&lt;rec-number&gt;361&lt;/rec-number&gt;&lt;foreign-keys&gt;&lt;key app="EN" db-id="exwvr9fd40te9ner0f4ptrrorttf9svzawdd" timestamp="1752333449"&gt;361&lt;/key&gt;&lt;/foreign-keys&gt;&lt;ref-type name="Journal Article"&gt;17&lt;/ref-type&gt;&lt;contributors&gt;&lt;authors&gt;&lt;author&gt;Santana, Patricia Teixeira&lt;/author&gt;&lt;author&gt;Rosas, Siane Lopes Bittencourt&lt;/author&gt;&lt;author&gt;Ribeiro, Beatriz Elias&lt;/author&gt;&lt;author&gt;Marinho, Ygor&lt;/author&gt;&lt;author&gt;de Souza, Heitor SP&lt;/author&gt;&lt;/authors&gt;&lt;/contributors&gt;&lt;titles&gt;&lt;title&gt;Dysbiosis in inflammatory bowel disease: pathogenic role and potential therapeutic targets&lt;/title&gt;&lt;secondary-title&gt;International journal of molecular sciences&lt;/secondary-title&gt;&lt;/titles&gt;&lt;periodical&gt;&lt;full-title&gt;International journal of molecular sciences&lt;/full-title&gt;&lt;/periodical&gt;&lt;pages&gt;3464&lt;/pages&gt;&lt;volume&gt;23&lt;/volume&gt;&lt;number&gt;7&lt;/number&gt;&lt;dates&gt;&lt;year&gt;2022&lt;/year&gt;&lt;/dates&gt;&lt;isbn&gt;1422-0067&lt;/isbn&gt;&lt;urls&gt;&lt;/urls&gt;&lt;/record&gt;&lt;/Cite&gt;&lt;/EndNote&gt;</w:instrText>
      </w:r>
      <w:r w:rsidR="00261DEF" w:rsidRPr="00856ECB">
        <w:rPr>
          <w:rFonts w:asciiTheme="majorBidi" w:hAnsiTheme="majorBidi" w:cstheme="majorBidi"/>
        </w:rPr>
        <w:fldChar w:fldCharType="separate"/>
      </w:r>
      <w:r w:rsidR="00B87818" w:rsidRPr="00856ECB">
        <w:rPr>
          <w:rFonts w:asciiTheme="majorBidi" w:hAnsiTheme="majorBidi" w:cstheme="majorBidi"/>
          <w:noProof/>
        </w:rPr>
        <w:t>(37)</w:t>
      </w:r>
      <w:r w:rsidR="00261DEF" w:rsidRPr="00856ECB">
        <w:rPr>
          <w:rFonts w:asciiTheme="majorBidi" w:hAnsiTheme="majorBidi" w:cstheme="majorBidi"/>
        </w:rPr>
        <w:fldChar w:fldCharType="end"/>
      </w:r>
      <w:r w:rsidR="00404FD3" w:rsidRPr="00856ECB">
        <w:rPr>
          <w:rFonts w:asciiTheme="majorBidi" w:hAnsiTheme="majorBidi" w:cstheme="majorBidi"/>
        </w:rPr>
        <w:t>.</w:t>
      </w:r>
    </w:p>
    <w:p w14:paraId="76411DB5" w14:textId="13B323F7" w:rsidR="008B5AB2" w:rsidRDefault="00DA46D6" w:rsidP="008B5AB2">
      <w:pPr>
        <w:pStyle w:val="NormalWeb"/>
        <w:jc w:val="both"/>
        <w:rPr>
          <w:rFonts w:asciiTheme="majorBidi" w:hAnsiTheme="majorBidi" w:cstheme="majorBidi"/>
        </w:rPr>
      </w:pPr>
      <w:r w:rsidRPr="00856ECB">
        <w:rPr>
          <w:rFonts w:asciiTheme="majorBidi" w:hAnsiTheme="majorBidi" w:cstheme="majorBidi"/>
        </w:rPr>
        <w:t xml:space="preserve">Fibromyalgia, which often coexists with </w:t>
      </w:r>
      <w:bookmarkStart w:id="3" w:name="_Hlk204752201"/>
      <w:r w:rsidRPr="00856ECB">
        <w:rPr>
          <w:rFonts w:asciiTheme="majorBidi" w:hAnsiTheme="majorBidi" w:cstheme="majorBidi"/>
        </w:rPr>
        <w:t>irritable bowel syndrome</w:t>
      </w:r>
      <w:r w:rsidR="00B87818" w:rsidRPr="00856ECB">
        <w:rPr>
          <w:rFonts w:asciiTheme="majorBidi" w:hAnsiTheme="majorBidi" w:cstheme="majorBidi"/>
        </w:rPr>
        <w:t xml:space="preserve"> </w:t>
      </w:r>
      <w:bookmarkEnd w:id="3"/>
      <w:r w:rsidR="00B87818" w:rsidRPr="00856ECB">
        <w:rPr>
          <w:rFonts w:asciiTheme="majorBidi" w:hAnsiTheme="majorBidi" w:cstheme="majorBidi"/>
        </w:rPr>
        <w:t>(IBS)</w:t>
      </w:r>
      <w:r w:rsidRPr="00856ECB">
        <w:rPr>
          <w:rFonts w:asciiTheme="majorBidi" w:hAnsiTheme="majorBidi" w:cstheme="majorBidi"/>
        </w:rPr>
        <w:t xml:space="preserve"> and rheumatoid arthritis (RA), presents with chronic pain, fatigue, cognitive impairments, and mood disorders. Low-grade systemic inflammation characterized by elevated levels of IL-6 and IL-8 has been implicated in increased pain sensitivity. </w:t>
      </w:r>
      <w:proofErr w:type="spellStart"/>
      <w:r w:rsidRPr="00856ECB">
        <w:rPr>
          <w:rFonts w:asciiTheme="majorBidi" w:hAnsiTheme="majorBidi" w:cstheme="majorBidi"/>
        </w:rPr>
        <w:t>Dysbiosis</w:t>
      </w:r>
      <w:proofErr w:type="spellEnd"/>
      <w:r w:rsidRPr="00856ECB">
        <w:rPr>
          <w:rFonts w:asciiTheme="majorBidi" w:hAnsiTheme="majorBidi" w:cstheme="majorBidi"/>
        </w:rPr>
        <w:t xml:space="preserve">, including small intestinal bacterial overgrowth (SIBO) and a decline in butyrate-producing bacteria such as </w:t>
      </w:r>
      <w:proofErr w:type="spellStart"/>
      <w:r w:rsidRPr="00856ECB">
        <w:rPr>
          <w:rFonts w:asciiTheme="majorBidi" w:hAnsiTheme="majorBidi" w:cstheme="majorBidi"/>
          <w:i/>
          <w:iCs/>
        </w:rPr>
        <w:t>Faecalibacterium</w:t>
      </w:r>
      <w:proofErr w:type="spellEnd"/>
      <w:r w:rsidRPr="00856ECB">
        <w:rPr>
          <w:rFonts w:asciiTheme="majorBidi" w:hAnsiTheme="majorBidi" w:cstheme="majorBidi"/>
          <w:i/>
          <w:iCs/>
        </w:rPr>
        <w:t xml:space="preserve"> </w:t>
      </w:r>
      <w:proofErr w:type="spellStart"/>
      <w:r w:rsidRPr="00856ECB">
        <w:rPr>
          <w:rFonts w:asciiTheme="majorBidi" w:hAnsiTheme="majorBidi" w:cstheme="majorBidi"/>
          <w:i/>
          <w:iCs/>
        </w:rPr>
        <w:t>prausnitzii</w:t>
      </w:r>
      <w:proofErr w:type="spellEnd"/>
      <w:r w:rsidRPr="00856ECB">
        <w:rPr>
          <w:rFonts w:asciiTheme="majorBidi" w:hAnsiTheme="majorBidi" w:cstheme="majorBidi"/>
        </w:rPr>
        <w:t xml:space="preserve">, may aggravate inflammatory responses and gastrointestinal symptoms </w:t>
      </w:r>
      <w:r w:rsidR="00261DEF" w:rsidRPr="00856ECB">
        <w:rPr>
          <w:rFonts w:asciiTheme="majorBidi" w:hAnsiTheme="majorBidi" w:cstheme="majorBidi"/>
        </w:rPr>
        <w:fldChar w:fldCharType="begin"/>
      </w:r>
      <w:r w:rsidR="00B87818" w:rsidRPr="00856ECB">
        <w:rPr>
          <w:rFonts w:asciiTheme="majorBidi" w:hAnsiTheme="majorBidi" w:cstheme="majorBidi"/>
        </w:rPr>
        <w:instrText xml:space="preserve"> ADDIN EN.CITE &lt;EndNote&gt;&lt;Cite&gt;&lt;Author&gt;Erdrich&lt;/Author&gt;&lt;Year&gt;2020&lt;/Year&gt;&lt;RecNum&gt;324&lt;/RecNum&gt;&lt;DisplayText&gt;(38, 39)&lt;/DisplayText&gt;&lt;record&gt;&lt;rec-number&gt;324&lt;/rec-number&gt;&lt;foreign-keys&gt;&lt;key app="EN" db-id="exwvr9fd40te9ner0f4ptrrorttf9svzawdd" timestamp="1751912154"&gt;324&lt;/key&gt;&lt;/foreign-keys&gt;&lt;ref-type name="Journal Article"&gt;17&lt;/ref-type&gt;&lt;contributors&gt;&lt;authors&gt;&lt;author&gt;Erdrich, Sharon&lt;/author&gt;&lt;author&gt;Hawrelak, Jason A&lt;/author&gt;&lt;author&gt;Myers, Stephen P&lt;/author&gt;&lt;author&gt;Harnett, Joanna E&lt;/author&gt;&lt;/authors&gt;&lt;/contributors&gt;&lt;titles&gt;&lt;title&gt;A systematic review of the association between fibromyalgia and functional gastrointestinal disorders&lt;/title&gt;&lt;secondary-title&gt;Therapeutic Advances in Gastroenterology&lt;/secondary-title&gt;&lt;/titles&gt;&lt;periodical&gt;&lt;full-title&gt;Therapeutic Advances in Gastroenterology&lt;/full-title&gt;&lt;/periodical&gt;&lt;pages&gt;1756284820977402&lt;/pages&gt;&lt;volume&gt;13&lt;/volume&gt;&lt;dates&gt;&lt;year&gt;2020&lt;/year&gt;&lt;/dates&gt;&lt;isbn&gt;1756-2848&lt;/isbn&gt;&lt;urls&gt;&lt;/urls&gt;&lt;/record&gt;&lt;/Cite&gt;&lt;Cite&gt;&lt;Author&gt;Sanada&lt;/Author&gt;&lt;Year&gt;2015&lt;/Year&gt;&lt;RecNum&gt;325&lt;/RecNum&gt;&lt;record&gt;&lt;rec-number&gt;325&lt;/rec-number&gt;&lt;foreign-keys&gt;&lt;key app="EN" db-id="exwvr9fd40te9ner0f4ptrrorttf9svzawdd" timestamp="1751912195"&gt;325&lt;/key&gt;&lt;/foreign-keys&gt;&lt;ref-type name="Journal Article"&gt;17&lt;/ref-type&gt;&lt;contributors&gt;&lt;authors&gt;&lt;author&gt;Sanada, Kenji&lt;/author&gt;&lt;author&gt;Díez, Marta Alda&lt;/author&gt;&lt;author&gt;Valero, Montserrat Salas&lt;/author&gt;&lt;author&gt;Pérez-Yus, María Cruz&lt;/author&gt;&lt;author&gt;Demarzo, Marcelo MP&lt;/author&gt;&lt;author&gt;García-Toro, Mauro&lt;/author&gt;&lt;author&gt;García-Campayo, Javier&lt;/author&gt;&lt;/authors&gt;&lt;/contributors&gt;&lt;titles&gt;&lt;title&gt;Effects of non-pharmacological interventions on inflammatory biomarker expression in patients with fibromyalgia: a systematic review&lt;/title&gt;&lt;secondary-title&gt;Arthritis research &amp;amp; therapy&lt;/secondary-title&gt;&lt;/titles&gt;&lt;periodical&gt;&lt;full-title&gt;Arthritis research &amp;amp; therapy&lt;/full-title&gt;&lt;/periodical&gt;&lt;pages&gt;1-16&lt;/pages&gt;&lt;volume&gt;17&lt;/volume&gt;&lt;dates&gt;&lt;year&gt;2015&lt;/year&gt;&lt;/dates&gt;&lt;urls&gt;&lt;/urls&gt;&lt;/record&gt;&lt;/Cite&gt;&lt;/EndNote&gt;</w:instrText>
      </w:r>
      <w:r w:rsidR="00261DEF" w:rsidRPr="00856ECB">
        <w:rPr>
          <w:rFonts w:asciiTheme="majorBidi" w:hAnsiTheme="majorBidi" w:cstheme="majorBidi"/>
        </w:rPr>
        <w:fldChar w:fldCharType="separate"/>
      </w:r>
      <w:r w:rsidR="00B87818" w:rsidRPr="00856ECB">
        <w:rPr>
          <w:rFonts w:asciiTheme="majorBidi" w:hAnsiTheme="majorBidi" w:cstheme="majorBidi"/>
          <w:noProof/>
        </w:rPr>
        <w:t>(38, 39)</w:t>
      </w:r>
      <w:r w:rsidR="00261DEF" w:rsidRPr="00856ECB">
        <w:rPr>
          <w:rFonts w:asciiTheme="majorBidi" w:hAnsiTheme="majorBidi" w:cstheme="majorBidi"/>
        </w:rPr>
        <w:fldChar w:fldCharType="end"/>
      </w:r>
      <w:r w:rsidR="00404FD3" w:rsidRPr="00856ECB">
        <w:rPr>
          <w:rFonts w:asciiTheme="majorBidi" w:hAnsiTheme="majorBidi" w:cstheme="majorBidi"/>
        </w:rPr>
        <w:t xml:space="preserve">. </w:t>
      </w:r>
      <w:r w:rsidR="00605A9E" w:rsidRPr="00856ECB">
        <w:rPr>
          <w:rFonts w:asciiTheme="majorBidi" w:hAnsiTheme="majorBidi" w:cstheme="majorBidi"/>
        </w:rPr>
        <w:t xml:space="preserve">Notably, both </w:t>
      </w:r>
      <w:r w:rsidR="00B87818" w:rsidRPr="00856ECB">
        <w:rPr>
          <w:rFonts w:asciiTheme="majorBidi" w:hAnsiTheme="majorBidi" w:cstheme="majorBidi"/>
        </w:rPr>
        <w:t>irritable bowel syndrome</w:t>
      </w:r>
      <w:r w:rsidR="00605A9E" w:rsidRPr="00856ECB">
        <w:rPr>
          <w:rFonts w:asciiTheme="majorBidi" w:hAnsiTheme="majorBidi" w:cstheme="majorBidi"/>
        </w:rPr>
        <w:t xml:space="preserve"> and fibromyalgia are marked by reductions in the abundance of </w:t>
      </w:r>
      <w:proofErr w:type="spellStart"/>
      <w:r w:rsidR="00605A9E" w:rsidRPr="00856ECB">
        <w:rPr>
          <w:rFonts w:asciiTheme="majorBidi" w:hAnsiTheme="majorBidi" w:cstheme="majorBidi"/>
          <w:i/>
          <w:iCs/>
        </w:rPr>
        <w:t>Bifidobacterium</w:t>
      </w:r>
      <w:proofErr w:type="spellEnd"/>
      <w:r w:rsidR="00605A9E" w:rsidRPr="00856ECB">
        <w:rPr>
          <w:rFonts w:asciiTheme="majorBidi" w:hAnsiTheme="majorBidi" w:cstheme="majorBidi"/>
          <w:i/>
          <w:iCs/>
        </w:rPr>
        <w:t xml:space="preserve"> and </w:t>
      </w:r>
      <w:proofErr w:type="spellStart"/>
      <w:r w:rsidR="00605A9E" w:rsidRPr="00856ECB">
        <w:rPr>
          <w:rFonts w:asciiTheme="majorBidi" w:hAnsiTheme="majorBidi" w:cstheme="majorBidi"/>
          <w:i/>
          <w:iCs/>
        </w:rPr>
        <w:t>Ruminococcaceae</w:t>
      </w:r>
      <w:proofErr w:type="spellEnd"/>
      <w:r w:rsidR="00605A9E" w:rsidRPr="00856ECB">
        <w:rPr>
          <w:rFonts w:asciiTheme="majorBidi" w:hAnsiTheme="majorBidi" w:cstheme="majorBidi"/>
        </w:rPr>
        <w:t xml:space="preserve"> (including </w:t>
      </w:r>
      <w:r w:rsidR="00605A9E" w:rsidRPr="00856ECB">
        <w:rPr>
          <w:rFonts w:asciiTheme="majorBidi" w:hAnsiTheme="majorBidi" w:cstheme="majorBidi"/>
          <w:i/>
          <w:iCs/>
        </w:rPr>
        <w:t xml:space="preserve">F. </w:t>
      </w:r>
      <w:proofErr w:type="spellStart"/>
      <w:r w:rsidR="00605A9E" w:rsidRPr="00856ECB">
        <w:rPr>
          <w:rFonts w:asciiTheme="majorBidi" w:hAnsiTheme="majorBidi" w:cstheme="majorBidi"/>
          <w:i/>
          <w:iCs/>
        </w:rPr>
        <w:t>prausnitzii</w:t>
      </w:r>
      <w:proofErr w:type="spellEnd"/>
      <w:r w:rsidR="00605A9E" w:rsidRPr="00856ECB">
        <w:rPr>
          <w:rFonts w:asciiTheme="majorBidi" w:hAnsiTheme="majorBidi" w:cstheme="majorBidi"/>
        </w:rPr>
        <w:t xml:space="preserve">), alongside increased levels of </w:t>
      </w:r>
      <w:r w:rsidR="00605A9E" w:rsidRPr="00856ECB">
        <w:rPr>
          <w:rFonts w:asciiTheme="majorBidi" w:hAnsiTheme="majorBidi" w:cstheme="majorBidi"/>
          <w:i/>
          <w:iCs/>
        </w:rPr>
        <w:t xml:space="preserve">Clostridium </w:t>
      </w:r>
      <w:proofErr w:type="spellStart"/>
      <w:r w:rsidR="00605A9E" w:rsidRPr="00856ECB">
        <w:rPr>
          <w:rFonts w:asciiTheme="majorBidi" w:hAnsiTheme="majorBidi" w:cstheme="majorBidi"/>
          <w:i/>
          <w:iCs/>
        </w:rPr>
        <w:t>scindens</w:t>
      </w:r>
      <w:proofErr w:type="spellEnd"/>
      <w:r w:rsidR="00605A9E" w:rsidRPr="00856ECB">
        <w:rPr>
          <w:rFonts w:asciiTheme="majorBidi" w:hAnsiTheme="majorBidi" w:cstheme="majorBidi"/>
        </w:rPr>
        <w:t xml:space="preserve"> </w:t>
      </w:r>
      <w:r w:rsidR="00261DEF" w:rsidRPr="00856ECB">
        <w:rPr>
          <w:rFonts w:asciiTheme="majorBidi" w:hAnsiTheme="majorBidi" w:cstheme="majorBidi"/>
        </w:rPr>
        <w:fldChar w:fldCharType="begin"/>
      </w:r>
      <w:r w:rsidR="00B87818" w:rsidRPr="00856ECB">
        <w:rPr>
          <w:rFonts w:asciiTheme="majorBidi" w:hAnsiTheme="majorBidi" w:cstheme="majorBidi"/>
        </w:rPr>
        <w:instrText xml:space="preserve"> ADDIN EN.CITE &lt;EndNote&gt;&lt;Cite&gt;&lt;Author&gt;Garofalo&lt;/Author&gt;&lt;Year&gt;2023&lt;/Year&gt;&lt;RecNum&gt;362&lt;/RecNum&gt;&lt;DisplayText&gt;(40)&lt;/DisplayText&gt;&lt;record&gt;&lt;rec-number&gt;362&lt;/rec-number&gt;&lt;foreign-keys&gt;&lt;key app="EN" db-id="exwvr9fd40te9ner0f4ptrrorttf9svzawdd" timestamp="1752334744"&gt;362&lt;/key&gt;&lt;/foreign-keys&gt;&lt;ref-type name="Journal Article"&gt;17&lt;/ref-type&gt;&lt;contributors&gt;&lt;authors&gt;&lt;author&gt;Garofalo, Cinzia&lt;/author&gt;&lt;author&gt;Cristiani, Costanza Maria&lt;/author&gt;&lt;author&gt;Ilari, Sara&lt;/author&gt;&lt;author&gt;Passacatini, Lucia Carmela&lt;/author&gt;&lt;author&gt;Malafoglia, Valentina&lt;/author&gt;&lt;author&gt;Viglietto, Giuseppe&lt;/author&gt;&lt;author&gt;Maiuolo, Jessica&lt;/author&gt;&lt;author&gt;Oppedisano, Francesca&lt;/author&gt;&lt;author&gt;Palma, Ernesto&lt;/author&gt;&lt;author&gt;Tomino, Carlo&lt;/author&gt;&lt;/authors&gt;&lt;/contributors&gt;&lt;titles&gt;&lt;title&gt;Fibromyalgia and irritable bowel syndrome interaction: a possible role for gut microbiota and gut-brain axis&lt;/title&gt;&lt;secondary-title&gt;Biomedicines&lt;/secondary-title&gt;&lt;/titles&gt;&lt;periodical&gt;&lt;full-title&gt;Biomedicines&lt;/full-title&gt;&lt;/periodical&gt;&lt;pages&gt;1701&lt;/pages&gt;&lt;volume&gt;11&lt;/volume&gt;&lt;number&gt;6&lt;/number&gt;&lt;dates&gt;&lt;year&gt;2023&lt;/year&gt;&lt;/dates&gt;&lt;isbn&gt;2227-9059&lt;/isbn&gt;&lt;urls&gt;&lt;/urls&gt;&lt;/record&gt;&lt;/Cite&gt;&lt;/EndNote&gt;</w:instrText>
      </w:r>
      <w:r w:rsidR="00261DEF" w:rsidRPr="00856ECB">
        <w:rPr>
          <w:rFonts w:asciiTheme="majorBidi" w:hAnsiTheme="majorBidi" w:cstheme="majorBidi"/>
        </w:rPr>
        <w:fldChar w:fldCharType="separate"/>
      </w:r>
      <w:r w:rsidR="00B87818" w:rsidRPr="00856ECB">
        <w:rPr>
          <w:rFonts w:asciiTheme="majorBidi" w:hAnsiTheme="majorBidi" w:cstheme="majorBidi"/>
          <w:noProof/>
        </w:rPr>
        <w:t>(40)</w:t>
      </w:r>
      <w:r w:rsidR="00261DEF" w:rsidRPr="00856ECB">
        <w:rPr>
          <w:rFonts w:asciiTheme="majorBidi" w:hAnsiTheme="majorBidi" w:cstheme="majorBidi"/>
        </w:rPr>
        <w:fldChar w:fldCharType="end"/>
      </w:r>
      <w:r w:rsidR="00404FD3" w:rsidRPr="00856ECB">
        <w:rPr>
          <w:rFonts w:asciiTheme="majorBidi" w:hAnsiTheme="majorBidi" w:cstheme="majorBidi"/>
        </w:rPr>
        <w:t>.</w:t>
      </w:r>
    </w:p>
    <w:p w14:paraId="5A777998" w14:textId="77777777" w:rsidR="000D0431" w:rsidRDefault="000D0431" w:rsidP="008B5AB2">
      <w:pPr>
        <w:pStyle w:val="NormalWeb"/>
        <w:jc w:val="both"/>
        <w:rPr>
          <w:rFonts w:asciiTheme="majorBidi" w:hAnsiTheme="majorBidi" w:cstheme="majorBidi"/>
        </w:rPr>
      </w:pPr>
    </w:p>
    <w:p w14:paraId="48ACB4B7" w14:textId="3B1D93D4" w:rsidR="0068107A" w:rsidRPr="008B5AB2" w:rsidRDefault="0068107A" w:rsidP="008B5AB2">
      <w:pPr>
        <w:pStyle w:val="NormalWeb"/>
        <w:jc w:val="both"/>
        <w:rPr>
          <w:rFonts w:asciiTheme="majorBidi" w:hAnsiTheme="majorBidi" w:cstheme="majorBidi"/>
          <w:i/>
          <w:iCs/>
          <w:color w:val="4472C4" w:themeColor="accent1"/>
        </w:rPr>
      </w:pPr>
      <w:r w:rsidRPr="008B5AB2">
        <w:rPr>
          <w:rFonts w:asciiTheme="majorBidi" w:hAnsiTheme="majorBidi"/>
          <w:i/>
          <w:iCs/>
          <w:color w:val="4472C4" w:themeColor="accent1"/>
        </w:rPr>
        <w:t>Clinical</w:t>
      </w:r>
      <w:r w:rsidR="00677909" w:rsidRPr="008B5AB2">
        <w:rPr>
          <w:rFonts w:asciiTheme="majorBidi" w:hAnsiTheme="majorBidi"/>
          <w:i/>
          <w:iCs/>
          <w:color w:val="4472C4" w:themeColor="accent1"/>
        </w:rPr>
        <w:t xml:space="preserve"> </w:t>
      </w:r>
      <w:r w:rsidR="00404FD3" w:rsidRPr="008B5AB2">
        <w:rPr>
          <w:rFonts w:asciiTheme="majorBidi" w:hAnsiTheme="majorBidi"/>
          <w:i/>
          <w:iCs/>
          <w:color w:val="4472C4" w:themeColor="accent1"/>
        </w:rPr>
        <w:t>evidence</w:t>
      </w:r>
    </w:p>
    <w:p w14:paraId="249DBC14" w14:textId="5C25168C" w:rsidR="0068107A" w:rsidRPr="00856ECB" w:rsidRDefault="00605A9E" w:rsidP="009A0C39">
      <w:pPr>
        <w:pStyle w:val="NormalWeb"/>
        <w:jc w:val="both"/>
        <w:rPr>
          <w:rFonts w:asciiTheme="majorBidi" w:hAnsiTheme="majorBidi" w:cstheme="majorBidi"/>
        </w:rPr>
      </w:pPr>
      <w:r w:rsidRPr="00856ECB">
        <w:rPr>
          <w:rFonts w:asciiTheme="majorBidi" w:hAnsiTheme="majorBidi" w:cstheme="majorBidi"/>
        </w:rPr>
        <w:t>A recent study explored the therapeutic potential of probiotics—</w:t>
      </w:r>
      <w:proofErr w:type="spellStart"/>
      <w:r w:rsidRPr="00856ECB">
        <w:rPr>
          <w:rFonts w:asciiTheme="majorBidi" w:hAnsiTheme="majorBidi" w:cstheme="majorBidi"/>
          <w:i/>
          <w:iCs/>
        </w:rPr>
        <w:t>Bifidobacterium</w:t>
      </w:r>
      <w:proofErr w:type="spellEnd"/>
      <w:r w:rsidRPr="00856ECB">
        <w:rPr>
          <w:rFonts w:asciiTheme="majorBidi" w:hAnsiTheme="majorBidi" w:cstheme="majorBidi"/>
          <w:i/>
          <w:iCs/>
        </w:rPr>
        <w:t xml:space="preserve"> </w:t>
      </w:r>
      <w:proofErr w:type="spellStart"/>
      <w:r w:rsidRPr="00856ECB">
        <w:rPr>
          <w:rFonts w:asciiTheme="majorBidi" w:hAnsiTheme="majorBidi" w:cstheme="majorBidi"/>
          <w:i/>
          <w:iCs/>
        </w:rPr>
        <w:t>lactis</w:t>
      </w:r>
      <w:proofErr w:type="spellEnd"/>
      <w:r w:rsidRPr="00856ECB">
        <w:rPr>
          <w:rFonts w:asciiTheme="majorBidi" w:hAnsiTheme="majorBidi" w:cstheme="majorBidi"/>
          <w:i/>
          <w:iCs/>
        </w:rPr>
        <w:t xml:space="preserve">, </w:t>
      </w:r>
      <w:proofErr w:type="spellStart"/>
      <w:r w:rsidRPr="00856ECB">
        <w:rPr>
          <w:rFonts w:asciiTheme="majorBidi" w:hAnsiTheme="majorBidi" w:cstheme="majorBidi"/>
          <w:i/>
          <w:iCs/>
        </w:rPr>
        <w:t>Levilactobacillus</w:t>
      </w:r>
      <w:proofErr w:type="spellEnd"/>
      <w:r w:rsidRPr="00856ECB">
        <w:rPr>
          <w:rFonts w:asciiTheme="majorBidi" w:hAnsiTheme="majorBidi" w:cstheme="majorBidi"/>
          <w:i/>
          <w:iCs/>
        </w:rPr>
        <w:t xml:space="preserve"> </w:t>
      </w:r>
      <w:proofErr w:type="spellStart"/>
      <w:r w:rsidRPr="00856ECB">
        <w:rPr>
          <w:rFonts w:asciiTheme="majorBidi" w:hAnsiTheme="majorBidi" w:cstheme="majorBidi"/>
          <w:i/>
          <w:iCs/>
        </w:rPr>
        <w:t>brevis</w:t>
      </w:r>
      <w:proofErr w:type="spellEnd"/>
      <w:r w:rsidRPr="00856ECB">
        <w:rPr>
          <w:rFonts w:asciiTheme="majorBidi" w:hAnsiTheme="majorBidi" w:cstheme="majorBidi"/>
          <w:i/>
          <w:iCs/>
        </w:rPr>
        <w:t xml:space="preserve">, </w:t>
      </w:r>
      <w:r w:rsidRPr="00856ECB">
        <w:rPr>
          <w:rFonts w:asciiTheme="majorBidi" w:hAnsiTheme="majorBidi" w:cstheme="majorBidi"/>
        </w:rPr>
        <w:t>and</w:t>
      </w:r>
      <w:r w:rsidRPr="00856ECB">
        <w:rPr>
          <w:rFonts w:asciiTheme="majorBidi" w:hAnsiTheme="majorBidi" w:cstheme="majorBidi"/>
          <w:i/>
          <w:iCs/>
        </w:rPr>
        <w:t xml:space="preserve"> </w:t>
      </w:r>
      <w:proofErr w:type="spellStart"/>
      <w:r w:rsidRPr="00856ECB">
        <w:rPr>
          <w:rFonts w:asciiTheme="majorBidi" w:hAnsiTheme="majorBidi" w:cstheme="majorBidi"/>
          <w:i/>
          <w:iCs/>
        </w:rPr>
        <w:t>Limosilactobacillus</w:t>
      </w:r>
      <w:proofErr w:type="spellEnd"/>
      <w:r w:rsidRPr="00856ECB">
        <w:rPr>
          <w:rFonts w:asciiTheme="majorBidi" w:hAnsiTheme="majorBidi" w:cstheme="majorBidi"/>
          <w:i/>
          <w:iCs/>
        </w:rPr>
        <w:t xml:space="preserve"> </w:t>
      </w:r>
      <w:proofErr w:type="spellStart"/>
      <w:r w:rsidRPr="00856ECB">
        <w:rPr>
          <w:rFonts w:asciiTheme="majorBidi" w:hAnsiTheme="majorBidi" w:cstheme="majorBidi"/>
          <w:i/>
          <w:iCs/>
        </w:rPr>
        <w:t>fermentum</w:t>
      </w:r>
      <w:proofErr w:type="spellEnd"/>
      <w:r w:rsidRPr="00856ECB">
        <w:rPr>
          <w:rFonts w:asciiTheme="majorBidi" w:hAnsiTheme="majorBidi" w:cstheme="majorBidi"/>
        </w:rPr>
        <w:t>—in a 5xFAD</w:t>
      </w:r>
      <w:r w:rsidR="00CF3CDB" w:rsidRPr="00856ECB">
        <w:rPr>
          <w:rFonts w:asciiTheme="majorBidi" w:hAnsiTheme="majorBidi" w:cstheme="majorBidi"/>
        </w:rPr>
        <w:t xml:space="preserve"> </w:t>
      </w:r>
      <w:r w:rsidRPr="00856ECB">
        <w:rPr>
          <w:rFonts w:asciiTheme="majorBidi" w:hAnsiTheme="majorBidi" w:cstheme="majorBidi"/>
        </w:rPr>
        <w:t xml:space="preserve">transgenic mouse model of </w:t>
      </w:r>
      <w:r w:rsidR="00E84842" w:rsidRPr="00856ECB">
        <w:rPr>
          <w:rFonts w:asciiTheme="majorBidi" w:hAnsiTheme="majorBidi" w:cstheme="majorBidi"/>
        </w:rPr>
        <w:t>Alzheimer’s disease (</w:t>
      </w:r>
      <w:r w:rsidRPr="00856ECB">
        <w:rPr>
          <w:rFonts w:asciiTheme="majorBidi" w:hAnsiTheme="majorBidi" w:cstheme="majorBidi"/>
        </w:rPr>
        <w:t>AD</w:t>
      </w:r>
      <w:r w:rsidR="00E84842" w:rsidRPr="00856ECB">
        <w:rPr>
          <w:rFonts w:asciiTheme="majorBidi" w:hAnsiTheme="majorBidi" w:cstheme="majorBidi"/>
        </w:rPr>
        <w:t>)</w:t>
      </w:r>
      <w:r w:rsidR="0068107A" w:rsidRPr="00856ECB">
        <w:rPr>
          <w:rFonts w:asciiTheme="majorBidi" w:hAnsiTheme="majorBidi" w:cstheme="majorBidi"/>
        </w:rPr>
        <w:t xml:space="preserve">. </w:t>
      </w:r>
      <w:r w:rsidRPr="00856ECB">
        <w:rPr>
          <w:rFonts w:asciiTheme="majorBidi" w:hAnsiTheme="majorBidi" w:cstheme="majorBidi"/>
        </w:rPr>
        <w:t xml:space="preserve">These probiotics were administered orally, with a </w:t>
      </w:r>
      <w:proofErr w:type="spellStart"/>
      <w:r w:rsidRPr="00856ECB">
        <w:rPr>
          <w:rFonts w:asciiTheme="majorBidi" w:hAnsiTheme="majorBidi" w:cstheme="majorBidi"/>
        </w:rPr>
        <w:t>phosphatidylserine</w:t>
      </w:r>
      <w:proofErr w:type="spellEnd"/>
      <w:r w:rsidRPr="00856ECB">
        <w:rPr>
          <w:rFonts w:asciiTheme="majorBidi" w:hAnsiTheme="majorBidi" w:cstheme="majorBidi"/>
        </w:rPr>
        <w:t xml:space="preserve">-enriched diet serving as the control. Behavioral assessments demonstrated notable improvements in spatial learning and recognition memory in the probiotic-treated mice. Additionally, </w:t>
      </w:r>
      <w:proofErr w:type="spellStart"/>
      <w:r w:rsidRPr="00856ECB">
        <w:rPr>
          <w:rFonts w:asciiTheme="majorBidi" w:hAnsiTheme="majorBidi" w:cstheme="majorBidi"/>
        </w:rPr>
        <w:t>histopathological</w:t>
      </w:r>
      <w:proofErr w:type="spellEnd"/>
      <w:r w:rsidRPr="00856ECB">
        <w:rPr>
          <w:rFonts w:asciiTheme="majorBidi" w:hAnsiTheme="majorBidi" w:cstheme="majorBidi"/>
        </w:rPr>
        <w:t xml:space="preserve"> analysis revealed reductions in amyloid-β accumulation, tau</w:t>
      </w:r>
      <w:r w:rsidR="005A0814" w:rsidRPr="00856ECB">
        <w:rPr>
          <w:rStyle w:val="FootnoteReference"/>
          <w:rFonts w:asciiTheme="majorBidi" w:hAnsiTheme="majorBidi" w:cstheme="majorBidi"/>
        </w:rPr>
        <w:footnoteReference w:id="3"/>
      </w:r>
      <w:r w:rsidRPr="00856ECB">
        <w:rPr>
          <w:rFonts w:asciiTheme="majorBidi" w:hAnsiTheme="majorBidi" w:cstheme="majorBidi"/>
        </w:rPr>
        <w:t xml:space="preserve"> phosphorylation, and microglial activation in brain regions commonly affected by AD. These </w:t>
      </w:r>
      <w:r w:rsidRPr="00856ECB">
        <w:rPr>
          <w:rFonts w:asciiTheme="majorBidi" w:hAnsiTheme="majorBidi" w:cstheme="majorBidi"/>
        </w:rPr>
        <w:lastRenderedPageBreak/>
        <w:t xml:space="preserve">findings suggest that probiotic supplementation may beneficially alter the gut </w:t>
      </w:r>
      <w:proofErr w:type="spellStart"/>
      <w:r w:rsidRPr="00856ECB">
        <w:rPr>
          <w:rFonts w:asciiTheme="majorBidi" w:hAnsiTheme="majorBidi" w:cstheme="majorBidi"/>
        </w:rPr>
        <w:t>microbiota</w:t>
      </w:r>
      <w:proofErr w:type="spellEnd"/>
      <w:r w:rsidRPr="00856ECB">
        <w:rPr>
          <w:rFonts w:asciiTheme="majorBidi" w:hAnsiTheme="majorBidi" w:cstheme="majorBidi"/>
        </w:rPr>
        <w:t xml:space="preserve"> and provide </w:t>
      </w:r>
      <w:proofErr w:type="spellStart"/>
      <w:r w:rsidRPr="00856ECB">
        <w:rPr>
          <w:rFonts w:asciiTheme="majorBidi" w:hAnsiTheme="majorBidi" w:cstheme="majorBidi"/>
        </w:rPr>
        <w:t>neuroprotective</w:t>
      </w:r>
      <w:proofErr w:type="spellEnd"/>
      <w:r w:rsidRPr="00856ECB">
        <w:rPr>
          <w:rFonts w:asciiTheme="majorBidi" w:hAnsiTheme="majorBidi" w:cstheme="majorBidi"/>
        </w:rPr>
        <w:t xml:space="preserve"> effects relevant to Alzheimer's disease</w:t>
      </w:r>
      <w:r w:rsidR="00E84842" w:rsidRPr="00856ECB">
        <w:rPr>
          <w:rFonts w:asciiTheme="majorBidi" w:hAnsiTheme="majorBidi" w:cstheme="majorBidi"/>
        </w:rPr>
        <w:t xml:space="preserve"> </w:t>
      </w:r>
      <w:r w:rsidR="00E84842" w:rsidRPr="00856ECB">
        <w:rPr>
          <w:rFonts w:asciiTheme="majorBidi" w:hAnsiTheme="majorBidi" w:cstheme="majorBidi"/>
        </w:rPr>
        <w:fldChar w:fldCharType="begin"/>
      </w:r>
      <w:r w:rsidR="00B87818" w:rsidRPr="00856ECB">
        <w:rPr>
          <w:rFonts w:asciiTheme="majorBidi" w:hAnsiTheme="majorBidi" w:cstheme="majorBidi"/>
        </w:rPr>
        <w:instrText xml:space="preserve"> ADDIN EN.CITE &lt;EndNote&gt;&lt;Cite&gt;&lt;Author&gt;Kim&lt;/Author&gt;&lt;Year&gt;2024&lt;/Year&gt;&lt;RecNum&gt;268&lt;/RecNum&gt;&lt;DisplayText&gt;(41)&lt;/DisplayText&gt;&lt;record&gt;&lt;rec-number&gt;268&lt;/rec-number&gt;&lt;foreign-keys&gt;&lt;key app="EN" db-id="exwvr9fd40te9ner0f4ptrrorttf9svzawdd" timestamp="1751821393"&gt;268&lt;/key&gt;&lt;/foreign-keys&gt;&lt;ref-type name="Journal Article"&gt;17&lt;/ref-type&gt;&lt;contributors&gt;&lt;authors&gt;&lt;author&gt;Kim, Yeong Jin&lt;/author&gt;&lt;author&gt;Mun, Bo-Ram&lt;/author&gt;&lt;author&gt;Choi, Kyu Yeong&lt;/author&gt;&lt;author&gt;Choi, Won-Seok&lt;/author&gt;&lt;/authors&gt;&lt;/contributors&gt;&lt;titles&gt;&lt;title&gt;Oral administration of probiotic bacteria alleviates tau phosphorylation, aβ accumulation, microglia activation, and memory loss in 5xFAD mice&lt;/title&gt;&lt;secondary-title&gt;Brain Sciences&lt;/secondary-title&gt;&lt;/titles&gt;&lt;periodical&gt;&lt;full-title&gt;Brain Sciences&lt;/full-title&gt;&lt;/periodical&gt;&lt;pages&gt;208&lt;/pages&gt;&lt;volume&gt;14&lt;/volume&gt;&lt;number&gt;3&lt;/number&gt;&lt;dates&gt;&lt;year&gt;2024&lt;/year&gt;&lt;/dates&gt;&lt;isbn&gt;2076-3425&lt;/isbn&gt;&lt;urls&gt;&lt;/urls&gt;&lt;/record&gt;&lt;/Cite&gt;&lt;/EndNote&gt;</w:instrText>
      </w:r>
      <w:r w:rsidR="00E84842" w:rsidRPr="00856ECB">
        <w:rPr>
          <w:rFonts w:asciiTheme="majorBidi" w:hAnsiTheme="majorBidi" w:cstheme="majorBidi"/>
        </w:rPr>
        <w:fldChar w:fldCharType="separate"/>
      </w:r>
      <w:r w:rsidR="00B87818" w:rsidRPr="00856ECB">
        <w:rPr>
          <w:rFonts w:asciiTheme="majorBidi" w:hAnsiTheme="majorBidi" w:cstheme="majorBidi"/>
          <w:noProof/>
        </w:rPr>
        <w:t>(41)</w:t>
      </w:r>
      <w:r w:rsidR="00E84842" w:rsidRPr="00856ECB">
        <w:rPr>
          <w:rFonts w:asciiTheme="majorBidi" w:hAnsiTheme="majorBidi" w:cstheme="majorBidi"/>
        </w:rPr>
        <w:fldChar w:fldCharType="end"/>
      </w:r>
      <w:r w:rsidR="0068107A" w:rsidRPr="00856ECB">
        <w:rPr>
          <w:rFonts w:asciiTheme="majorBidi" w:hAnsiTheme="majorBidi" w:cstheme="majorBidi"/>
        </w:rPr>
        <w:t>.</w:t>
      </w:r>
    </w:p>
    <w:p w14:paraId="52451ECF" w14:textId="13DF4DB6" w:rsidR="0068107A" w:rsidRPr="00856ECB" w:rsidRDefault="00605A9E" w:rsidP="009A0C39">
      <w:pPr>
        <w:pStyle w:val="NormalWeb"/>
        <w:jc w:val="both"/>
        <w:rPr>
          <w:rFonts w:asciiTheme="majorBidi" w:hAnsiTheme="majorBidi" w:cstheme="majorBidi"/>
        </w:rPr>
      </w:pPr>
      <w:r w:rsidRPr="00856ECB">
        <w:rPr>
          <w:rFonts w:asciiTheme="majorBidi" w:hAnsiTheme="majorBidi" w:cstheme="majorBidi"/>
        </w:rPr>
        <w:t xml:space="preserve">In another study, the probiotic </w:t>
      </w:r>
      <w:proofErr w:type="spellStart"/>
      <w:r w:rsidRPr="00856ECB">
        <w:rPr>
          <w:rFonts w:asciiTheme="majorBidi" w:hAnsiTheme="majorBidi" w:cstheme="majorBidi"/>
          <w:i/>
          <w:iCs/>
        </w:rPr>
        <w:t>Bifidobacterium</w:t>
      </w:r>
      <w:proofErr w:type="spellEnd"/>
      <w:r w:rsidRPr="00856ECB">
        <w:rPr>
          <w:rFonts w:asciiTheme="majorBidi" w:hAnsiTheme="majorBidi" w:cstheme="majorBidi"/>
          <w:i/>
          <w:iCs/>
        </w:rPr>
        <w:t xml:space="preserve"> </w:t>
      </w:r>
      <w:proofErr w:type="spellStart"/>
      <w:r w:rsidRPr="00856ECB">
        <w:rPr>
          <w:rFonts w:asciiTheme="majorBidi" w:hAnsiTheme="majorBidi" w:cstheme="majorBidi"/>
          <w:i/>
          <w:iCs/>
        </w:rPr>
        <w:t>animalis</w:t>
      </w:r>
      <w:proofErr w:type="spellEnd"/>
      <w:r w:rsidRPr="00856ECB">
        <w:rPr>
          <w:rFonts w:asciiTheme="majorBidi" w:hAnsiTheme="majorBidi" w:cstheme="majorBidi"/>
          <w:i/>
          <w:iCs/>
        </w:rPr>
        <w:t xml:space="preserve"> subsp. </w:t>
      </w:r>
      <w:proofErr w:type="spellStart"/>
      <w:r w:rsidRPr="00856ECB">
        <w:rPr>
          <w:rFonts w:asciiTheme="majorBidi" w:hAnsiTheme="majorBidi" w:cstheme="majorBidi"/>
          <w:i/>
          <w:iCs/>
        </w:rPr>
        <w:t>lactis</w:t>
      </w:r>
      <w:proofErr w:type="spellEnd"/>
      <w:r w:rsidRPr="00856ECB">
        <w:rPr>
          <w:rFonts w:asciiTheme="majorBidi" w:hAnsiTheme="majorBidi" w:cstheme="majorBidi"/>
          <w:i/>
          <w:iCs/>
        </w:rPr>
        <w:t xml:space="preserve"> NJ241</w:t>
      </w:r>
      <w:r w:rsidRPr="00856ECB">
        <w:rPr>
          <w:rFonts w:asciiTheme="majorBidi" w:hAnsiTheme="majorBidi" w:cstheme="majorBidi"/>
        </w:rPr>
        <w:t xml:space="preserve"> was investigated in a murine model of Parkinson’s disease (PD) induced by the neurotoxin MPTP</w:t>
      </w:r>
      <w:r w:rsidR="00CF3CDB" w:rsidRPr="00856ECB">
        <w:rPr>
          <w:rStyle w:val="FootnoteReference"/>
          <w:rFonts w:asciiTheme="majorBidi" w:hAnsiTheme="majorBidi" w:cstheme="majorBidi"/>
        </w:rPr>
        <w:footnoteReference w:id="4"/>
      </w:r>
      <w:r w:rsidRPr="00856ECB">
        <w:rPr>
          <w:rFonts w:asciiTheme="majorBidi" w:hAnsiTheme="majorBidi" w:cstheme="majorBidi"/>
        </w:rPr>
        <w:t xml:space="preserve">. The research incorporated behavioral tests, molecular assays, gut </w:t>
      </w:r>
      <w:proofErr w:type="spellStart"/>
      <w:r w:rsidRPr="00856ECB">
        <w:rPr>
          <w:rFonts w:asciiTheme="majorBidi" w:hAnsiTheme="majorBidi" w:cstheme="majorBidi"/>
        </w:rPr>
        <w:t>microbiota</w:t>
      </w:r>
      <w:proofErr w:type="spellEnd"/>
      <w:r w:rsidRPr="00856ECB">
        <w:rPr>
          <w:rFonts w:asciiTheme="majorBidi" w:hAnsiTheme="majorBidi" w:cstheme="majorBidi"/>
        </w:rPr>
        <w:t xml:space="preserve"> profiling, and short-chain fatty acid analysis. The results indicated that NJ241 improved motor performance, prevented weight loss and gastrointestinal dysfunction, and protected dopaminergic neurons from MPTP-induced neurotoxicity. Furthermore, probiotic treatment reduced glial cell activation in the </w:t>
      </w:r>
      <w:proofErr w:type="spellStart"/>
      <w:r w:rsidRPr="00856ECB">
        <w:rPr>
          <w:rFonts w:asciiTheme="majorBidi" w:hAnsiTheme="majorBidi" w:cstheme="majorBidi"/>
        </w:rPr>
        <w:t>substantia</w:t>
      </w:r>
      <w:proofErr w:type="spellEnd"/>
      <w:r w:rsidRPr="00856ECB">
        <w:rPr>
          <w:rFonts w:asciiTheme="majorBidi" w:hAnsiTheme="majorBidi" w:cstheme="majorBidi"/>
        </w:rPr>
        <w:t xml:space="preserve"> </w:t>
      </w:r>
      <w:proofErr w:type="spellStart"/>
      <w:r w:rsidRPr="00856ECB">
        <w:rPr>
          <w:rFonts w:asciiTheme="majorBidi" w:hAnsiTheme="majorBidi" w:cstheme="majorBidi"/>
        </w:rPr>
        <w:t>nigra</w:t>
      </w:r>
      <w:proofErr w:type="spellEnd"/>
      <w:r w:rsidRPr="00856ECB">
        <w:rPr>
          <w:rFonts w:asciiTheme="majorBidi" w:hAnsiTheme="majorBidi" w:cstheme="majorBidi"/>
        </w:rPr>
        <w:t xml:space="preserve">, restored microbial diversity, elevated SCFA production, and enhanced glucagon-like peptide-1 (GLP-1) signaling in the colon and brain. Blocking the GLP-1 receptor partially diminished these benefits, highlighting its critical role in mediating the </w:t>
      </w:r>
      <w:proofErr w:type="spellStart"/>
      <w:r w:rsidRPr="00856ECB">
        <w:rPr>
          <w:rFonts w:asciiTheme="majorBidi" w:hAnsiTheme="majorBidi" w:cstheme="majorBidi"/>
        </w:rPr>
        <w:t>neuroprotective</w:t>
      </w:r>
      <w:proofErr w:type="spellEnd"/>
      <w:r w:rsidRPr="00856ECB">
        <w:rPr>
          <w:rFonts w:asciiTheme="majorBidi" w:hAnsiTheme="majorBidi" w:cstheme="majorBidi"/>
        </w:rPr>
        <w:t xml:space="preserve"> effects of NJ241. This study emphasizes the therapeutic potential of gut-derived GLP-1 modulation in PD management through probiotic intervention</w:t>
      </w:r>
      <w:r w:rsidR="0068107A" w:rsidRPr="00856ECB">
        <w:rPr>
          <w:rFonts w:asciiTheme="majorBidi" w:hAnsiTheme="majorBidi" w:cstheme="majorBidi"/>
        </w:rPr>
        <w:t xml:space="preserve"> </w:t>
      </w:r>
      <w:r w:rsidR="00745B87" w:rsidRPr="00856ECB">
        <w:rPr>
          <w:rFonts w:asciiTheme="majorBidi" w:hAnsiTheme="majorBidi" w:cstheme="majorBidi"/>
        </w:rPr>
        <w:fldChar w:fldCharType="begin"/>
      </w:r>
      <w:r w:rsidR="00B87818" w:rsidRPr="00856ECB">
        <w:rPr>
          <w:rFonts w:asciiTheme="majorBidi" w:hAnsiTheme="majorBidi" w:cstheme="majorBidi"/>
        </w:rPr>
        <w:instrText xml:space="preserve"> ADDIN EN.CITE &lt;EndNote&gt;&lt;Cite&gt;&lt;Author&gt;Dong&lt;/Author&gt;&lt;Year&gt;2024&lt;/Year&gt;&lt;RecNum&gt;270&lt;/RecNum&gt;&lt;DisplayText&gt;(42)&lt;/DisplayText&gt;&lt;record&gt;&lt;rec-number&gt;270&lt;/rec-number&gt;&lt;foreign-keys&gt;&lt;key app="EN" db-id="exwvr9fd40te9ner0f4ptrrorttf9svzawdd" timestamp="1751821926"&gt;270&lt;/key&gt;&lt;/foreign-keys&gt;&lt;ref-type name="Journal Article"&gt;17&lt;/ref-type&gt;&lt;contributors&gt;&lt;authors&gt;&lt;author&gt;Dong, Yuxuan&lt;/author&gt;&lt;author&gt;Qi, Yueyan&lt;/author&gt;&lt;author&gt;Chen, Jinhu&lt;/author&gt;&lt;author&gt;Han, Siyuan&lt;/author&gt;&lt;author&gt;Su, Wenjing&lt;/author&gt;&lt;author&gt;Ma, Xin&lt;/author&gt;&lt;author&gt;Yu, Yang&lt;/author&gt;&lt;author&gt;Wang, Yanqin&lt;/author&gt;&lt;/authors&gt;&lt;/contributors&gt;&lt;titles&gt;&lt;title&gt;Neuroprotective Effects of Bifidobacterium animalis subsp. lactis NJ241 in a Mouse Model of Parkinson’s Disease: Implications for Gut Microbiota and PGC-1α&lt;/title&gt;&lt;secondary-title&gt;Molecular Neurobiology&lt;/secondary-title&gt;&lt;/titles&gt;&lt;periodical&gt;&lt;full-title&gt;Molecular Neurobiology&lt;/full-title&gt;&lt;/periodical&gt;&lt;pages&gt;7534-7548&lt;/pages&gt;&lt;volume&gt;61&lt;/volume&gt;&lt;number&gt;10&lt;/number&gt;&lt;dates&gt;&lt;year&gt;2024&lt;/year&gt;&lt;/dates&gt;&lt;isbn&gt;0893-7648&lt;/isbn&gt;&lt;urls&gt;&lt;/urls&gt;&lt;/record&gt;&lt;/Cite&gt;&lt;/EndNote&gt;</w:instrText>
      </w:r>
      <w:r w:rsidR="00745B87" w:rsidRPr="00856ECB">
        <w:rPr>
          <w:rFonts w:asciiTheme="majorBidi" w:hAnsiTheme="majorBidi" w:cstheme="majorBidi"/>
        </w:rPr>
        <w:fldChar w:fldCharType="separate"/>
      </w:r>
      <w:r w:rsidR="00B87818" w:rsidRPr="00856ECB">
        <w:rPr>
          <w:rFonts w:asciiTheme="majorBidi" w:hAnsiTheme="majorBidi" w:cstheme="majorBidi"/>
          <w:noProof/>
        </w:rPr>
        <w:t>(42)</w:t>
      </w:r>
      <w:r w:rsidR="00745B87" w:rsidRPr="00856ECB">
        <w:rPr>
          <w:rFonts w:asciiTheme="majorBidi" w:hAnsiTheme="majorBidi" w:cstheme="majorBidi"/>
        </w:rPr>
        <w:fldChar w:fldCharType="end"/>
      </w:r>
      <w:r w:rsidR="0068107A" w:rsidRPr="00856ECB">
        <w:rPr>
          <w:rFonts w:asciiTheme="majorBidi" w:hAnsiTheme="majorBidi" w:cstheme="majorBidi"/>
        </w:rPr>
        <w:t>.</w:t>
      </w:r>
    </w:p>
    <w:p w14:paraId="40BBD958" w14:textId="70D4B758" w:rsidR="0068107A" w:rsidRPr="00856ECB" w:rsidRDefault="00605A9E" w:rsidP="009A0C39">
      <w:pPr>
        <w:pStyle w:val="NormalWeb"/>
        <w:jc w:val="both"/>
        <w:rPr>
          <w:rFonts w:asciiTheme="majorBidi" w:hAnsiTheme="majorBidi" w:cstheme="majorBidi"/>
        </w:rPr>
      </w:pPr>
      <w:r w:rsidRPr="00856ECB">
        <w:rPr>
          <w:rFonts w:asciiTheme="majorBidi" w:hAnsiTheme="majorBidi" w:cstheme="majorBidi"/>
        </w:rPr>
        <w:t xml:space="preserve">The impact of probiotics on mood-related symptoms has also been explored in human models. A study evaluated the effects of </w:t>
      </w:r>
      <w:r w:rsidRPr="00856ECB">
        <w:rPr>
          <w:rFonts w:asciiTheme="majorBidi" w:hAnsiTheme="majorBidi" w:cstheme="majorBidi"/>
          <w:i/>
          <w:iCs/>
        </w:rPr>
        <w:t xml:space="preserve">Lactobacillus </w:t>
      </w:r>
      <w:proofErr w:type="spellStart"/>
      <w:r w:rsidRPr="00856ECB">
        <w:rPr>
          <w:rFonts w:asciiTheme="majorBidi" w:hAnsiTheme="majorBidi" w:cstheme="majorBidi"/>
          <w:i/>
          <w:iCs/>
        </w:rPr>
        <w:t>helveticus</w:t>
      </w:r>
      <w:proofErr w:type="spellEnd"/>
      <w:r w:rsidRPr="00856ECB">
        <w:rPr>
          <w:rFonts w:asciiTheme="majorBidi" w:hAnsiTheme="majorBidi" w:cstheme="majorBidi"/>
          <w:i/>
          <w:iCs/>
        </w:rPr>
        <w:t xml:space="preserve"> R0052 </w:t>
      </w:r>
      <w:r w:rsidRPr="00856ECB">
        <w:rPr>
          <w:rFonts w:asciiTheme="majorBidi" w:hAnsiTheme="majorBidi" w:cstheme="majorBidi"/>
        </w:rPr>
        <w:t>and</w:t>
      </w:r>
      <w:r w:rsidRPr="00856ECB">
        <w:rPr>
          <w:rFonts w:asciiTheme="majorBidi" w:hAnsiTheme="majorBidi" w:cstheme="majorBidi"/>
          <w:i/>
          <w:iCs/>
        </w:rPr>
        <w:t xml:space="preserve"> </w:t>
      </w:r>
      <w:proofErr w:type="spellStart"/>
      <w:r w:rsidRPr="00856ECB">
        <w:rPr>
          <w:rFonts w:asciiTheme="majorBidi" w:hAnsiTheme="majorBidi" w:cstheme="majorBidi"/>
          <w:i/>
          <w:iCs/>
        </w:rPr>
        <w:t>Bifidobacterium</w:t>
      </w:r>
      <w:proofErr w:type="spellEnd"/>
      <w:r w:rsidRPr="00856ECB">
        <w:rPr>
          <w:rFonts w:asciiTheme="majorBidi" w:hAnsiTheme="majorBidi" w:cstheme="majorBidi"/>
          <w:i/>
          <w:iCs/>
        </w:rPr>
        <w:t xml:space="preserve"> </w:t>
      </w:r>
      <w:proofErr w:type="spellStart"/>
      <w:r w:rsidRPr="00856ECB">
        <w:rPr>
          <w:rFonts w:asciiTheme="majorBidi" w:hAnsiTheme="majorBidi" w:cstheme="majorBidi"/>
          <w:i/>
          <w:iCs/>
        </w:rPr>
        <w:t>longum</w:t>
      </w:r>
      <w:proofErr w:type="spellEnd"/>
      <w:r w:rsidRPr="00856ECB">
        <w:rPr>
          <w:rFonts w:asciiTheme="majorBidi" w:hAnsiTheme="majorBidi" w:cstheme="majorBidi"/>
          <w:i/>
          <w:iCs/>
        </w:rPr>
        <w:t xml:space="preserve"> R0175</w:t>
      </w:r>
      <w:r w:rsidRPr="00856ECB">
        <w:rPr>
          <w:rFonts w:asciiTheme="majorBidi" w:hAnsiTheme="majorBidi" w:cstheme="majorBidi"/>
        </w:rPr>
        <w:t xml:space="preserve"> on the gut </w:t>
      </w:r>
      <w:proofErr w:type="spellStart"/>
      <w:r w:rsidRPr="00856ECB">
        <w:rPr>
          <w:rFonts w:asciiTheme="majorBidi" w:hAnsiTheme="majorBidi" w:cstheme="majorBidi"/>
        </w:rPr>
        <w:t>microbiota</w:t>
      </w:r>
      <w:proofErr w:type="spellEnd"/>
      <w:r w:rsidRPr="00856ECB">
        <w:rPr>
          <w:rFonts w:asciiTheme="majorBidi" w:hAnsiTheme="majorBidi" w:cstheme="majorBidi"/>
        </w:rPr>
        <w:t xml:space="preserve"> of individuals with mild anxiety using the Simulator of the Human Intestinal Microbial Ecosystem (SHIME) model. Over a two-week intervention period, the probiotics promoted a favorable microbial profile by increasing </w:t>
      </w:r>
      <w:r w:rsidRPr="00856ECB">
        <w:rPr>
          <w:rFonts w:asciiTheme="majorBidi" w:hAnsiTheme="majorBidi" w:cstheme="majorBidi"/>
          <w:i/>
          <w:iCs/>
        </w:rPr>
        <w:t xml:space="preserve">Lactobacillus </w:t>
      </w:r>
      <w:r w:rsidRPr="00856ECB">
        <w:rPr>
          <w:rFonts w:asciiTheme="majorBidi" w:hAnsiTheme="majorBidi" w:cstheme="majorBidi"/>
        </w:rPr>
        <w:t>and</w:t>
      </w:r>
      <w:r w:rsidRPr="00856ECB">
        <w:rPr>
          <w:rFonts w:asciiTheme="majorBidi" w:hAnsiTheme="majorBidi" w:cstheme="majorBidi"/>
          <w:i/>
          <w:iCs/>
        </w:rPr>
        <w:t xml:space="preserve"> </w:t>
      </w:r>
      <w:proofErr w:type="spellStart"/>
      <w:r w:rsidRPr="00856ECB">
        <w:rPr>
          <w:rFonts w:asciiTheme="majorBidi" w:hAnsiTheme="majorBidi" w:cstheme="majorBidi"/>
          <w:i/>
          <w:iCs/>
        </w:rPr>
        <w:t>Olsenella</w:t>
      </w:r>
      <w:proofErr w:type="spellEnd"/>
      <w:r w:rsidRPr="00856ECB">
        <w:rPr>
          <w:rFonts w:asciiTheme="majorBidi" w:hAnsiTheme="majorBidi" w:cstheme="majorBidi"/>
        </w:rPr>
        <w:t xml:space="preserve"> and reducing </w:t>
      </w:r>
      <w:proofErr w:type="spellStart"/>
      <w:r w:rsidRPr="00856ECB">
        <w:rPr>
          <w:rFonts w:asciiTheme="majorBidi" w:hAnsiTheme="majorBidi" w:cstheme="majorBidi"/>
          <w:i/>
          <w:iCs/>
        </w:rPr>
        <w:t>Lachnospira</w:t>
      </w:r>
      <w:proofErr w:type="spellEnd"/>
      <w:r w:rsidRPr="00856ECB">
        <w:rPr>
          <w:rFonts w:asciiTheme="majorBidi" w:hAnsiTheme="majorBidi" w:cstheme="majorBidi"/>
          <w:i/>
          <w:iCs/>
        </w:rPr>
        <w:t xml:space="preserve"> </w:t>
      </w:r>
      <w:r w:rsidRPr="00856ECB">
        <w:rPr>
          <w:rFonts w:asciiTheme="majorBidi" w:hAnsiTheme="majorBidi" w:cstheme="majorBidi"/>
        </w:rPr>
        <w:t>and</w:t>
      </w:r>
      <w:r w:rsidRPr="00856ECB">
        <w:rPr>
          <w:rFonts w:asciiTheme="majorBidi" w:hAnsiTheme="majorBidi" w:cstheme="majorBidi"/>
          <w:i/>
          <w:iCs/>
        </w:rPr>
        <w:t xml:space="preserve"> Escherichia-</w:t>
      </w:r>
      <w:proofErr w:type="spellStart"/>
      <w:r w:rsidRPr="00856ECB">
        <w:rPr>
          <w:rFonts w:asciiTheme="majorBidi" w:hAnsiTheme="majorBidi" w:cstheme="majorBidi"/>
          <w:i/>
          <w:iCs/>
        </w:rPr>
        <w:t>Shigella</w:t>
      </w:r>
      <w:proofErr w:type="spellEnd"/>
      <w:r w:rsidRPr="00856ECB">
        <w:rPr>
          <w:rFonts w:asciiTheme="majorBidi" w:hAnsiTheme="majorBidi" w:cstheme="majorBidi"/>
        </w:rPr>
        <w:t xml:space="preserve">. Additionally, ammonia levels declined, while levels of acetic acid and total SCFAs increased. Immunological assays revealed elevated levels of anti-inflammatory cytokines (IL-6, IL-10) and reduced tumor necrosis factor-alpha (TNF-α). These results support the concept of </w:t>
      </w:r>
      <w:proofErr w:type="spellStart"/>
      <w:r w:rsidRPr="00856ECB">
        <w:rPr>
          <w:rFonts w:asciiTheme="majorBidi" w:hAnsiTheme="majorBidi" w:cstheme="majorBidi"/>
        </w:rPr>
        <w:t>psychobiotics</w:t>
      </w:r>
      <w:proofErr w:type="spellEnd"/>
      <w:r w:rsidRPr="00856ECB">
        <w:rPr>
          <w:rFonts w:asciiTheme="majorBidi" w:hAnsiTheme="majorBidi" w:cstheme="majorBidi"/>
        </w:rPr>
        <w:t xml:space="preserve">—probiotic strains that influence brain function via the gut-brain axis—offering a promising approach to managing anxiety and mood disorders </w:t>
      </w:r>
      <w:r w:rsidR="0037629D" w:rsidRPr="00856ECB">
        <w:rPr>
          <w:rFonts w:asciiTheme="majorBidi" w:hAnsiTheme="majorBidi" w:cstheme="majorBidi"/>
        </w:rPr>
        <w:fldChar w:fldCharType="begin"/>
      </w:r>
      <w:r w:rsidR="00B87818" w:rsidRPr="00856ECB">
        <w:rPr>
          <w:rFonts w:asciiTheme="majorBidi" w:hAnsiTheme="majorBidi" w:cstheme="majorBidi"/>
        </w:rPr>
        <w:instrText xml:space="preserve"> ADDIN EN.CITE &lt;EndNote&gt;&lt;Cite&gt;&lt;Author&gt;De Oliveira&lt;/Author&gt;&lt;Year&gt;2023&lt;/Year&gt;&lt;RecNum&gt;271&lt;/RecNum&gt;&lt;DisplayText&gt;(43)&lt;/DisplayText&gt;&lt;record&gt;&lt;rec-number&gt;271&lt;/rec-number&gt;&lt;foreign-keys&gt;&lt;key app="EN" db-id="exwvr9fd40te9ner0f4ptrrorttf9svzawdd" timestamp="1751822108"&gt;271&lt;/key&gt;&lt;/foreign-keys&gt;&lt;ref-type name="Journal Article"&gt;17&lt;/ref-type&gt;&lt;contributors&gt;&lt;authors&gt;&lt;author&gt;De Oliveira, Fellipe Lopes&lt;/author&gt;&lt;author&gt;Salgaço, Mateus Kawata&lt;/author&gt;&lt;author&gt;de Oliveira, Marina Toscano&lt;/author&gt;&lt;author&gt;Mesa, Victoria&lt;/author&gt;&lt;author&gt;Sartoratto, Adilson&lt;/author&gt;&lt;author&gt;Peregrino, Antonio Medeiros&lt;/author&gt;&lt;author&gt;Ramos, Williams Santos&lt;/author&gt;&lt;author&gt;Sivieri, Katia&lt;/author&gt;&lt;/authors&gt;&lt;/contributors&gt;&lt;titles&gt;&lt;title&gt;Exploring the potential of Lactobacillus helveticus R0052 and Bifidobacterium longum R0175 as promising psychobiotics using SHIME&lt;/title&gt;&lt;secondary-title&gt;Nutrients&lt;/secondary-title&gt;&lt;/titles&gt;&lt;periodical&gt;&lt;full-title&gt;Nutrients&lt;/full-title&gt;&lt;/periodical&gt;&lt;pages&gt;1521&lt;/pages&gt;&lt;volume&gt;15&lt;/volume&gt;&lt;number&gt;6&lt;/number&gt;&lt;dates&gt;&lt;year&gt;2023&lt;/year&gt;&lt;/dates&gt;&lt;isbn&gt;2072-6643&lt;/isbn&gt;&lt;urls&gt;&lt;/urls&gt;&lt;/record&gt;&lt;/Cite&gt;&lt;/EndNote&gt;</w:instrText>
      </w:r>
      <w:r w:rsidR="0037629D" w:rsidRPr="00856ECB">
        <w:rPr>
          <w:rFonts w:asciiTheme="majorBidi" w:hAnsiTheme="majorBidi" w:cstheme="majorBidi"/>
        </w:rPr>
        <w:fldChar w:fldCharType="separate"/>
      </w:r>
      <w:r w:rsidR="00B87818" w:rsidRPr="00856ECB">
        <w:rPr>
          <w:rFonts w:asciiTheme="majorBidi" w:hAnsiTheme="majorBidi" w:cstheme="majorBidi"/>
          <w:noProof/>
        </w:rPr>
        <w:t>(43)</w:t>
      </w:r>
      <w:r w:rsidR="0037629D" w:rsidRPr="00856ECB">
        <w:rPr>
          <w:rFonts w:asciiTheme="majorBidi" w:hAnsiTheme="majorBidi" w:cstheme="majorBidi"/>
        </w:rPr>
        <w:fldChar w:fldCharType="end"/>
      </w:r>
      <w:r w:rsidR="0068107A" w:rsidRPr="00856ECB">
        <w:rPr>
          <w:rFonts w:asciiTheme="majorBidi" w:hAnsiTheme="majorBidi" w:cstheme="majorBidi"/>
        </w:rPr>
        <w:t>.</w:t>
      </w:r>
    </w:p>
    <w:p w14:paraId="29E4DF88" w14:textId="628F7B92" w:rsidR="00262A6F" w:rsidRPr="00856ECB" w:rsidRDefault="00605A9E" w:rsidP="00CE21C6">
      <w:pPr>
        <w:pStyle w:val="NormalWeb"/>
        <w:jc w:val="both"/>
        <w:rPr>
          <w:rFonts w:asciiTheme="majorBidi" w:hAnsiTheme="majorBidi" w:cstheme="majorBidi"/>
        </w:rPr>
      </w:pPr>
      <w:r w:rsidRPr="00856ECB">
        <w:rPr>
          <w:rFonts w:asciiTheme="majorBidi" w:hAnsiTheme="majorBidi" w:cstheme="majorBidi"/>
        </w:rPr>
        <w:t xml:space="preserve">Furthermore, the </w:t>
      </w:r>
      <w:proofErr w:type="spellStart"/>
      <w:r w:rsidRPr="00856ECB">
        <w:rPr>
          <w:rFonts w:asciiTheme="majorBidi" w:hAnsiTheme="majorBidi" w:cstheme="majorBidi"/>
        </w:rPr>
        <w:t>immunoregulatory</w:t>
      </w:r>
      <w:proofErr w:type="spellEnd"/>
      <w:r w:rsidRPr="00856ECB">
        <w:rPr>
          <w:rFonts w:asciiTheme="majorBidi" w:hAnsiTheme="majorBidi" w:cstheme="majorBidi"/>
        </w:rPr>
        <w:t xml:space="preserve"> effects of probiotics have been investigated in autoimmune disease models. In rat models of experimental autoimmune myasthenia gravis (EAMG) and experimental autoimmune encephalomyelitis (EAE), probiotic administration led to reduced disease severity. In EAMG, neuromuscular junctions were preserved, while in EAE, spinal cord myelin integrity was maintained. Treatment also resulted in increased levels of transforming growth factor-beta (TGF-β) and regulatory T cells in circulation, alongside enhanced </w:t>
      </w:r>
      <w:proofErr w:type="spellStart"/>
      <w:r w:rsidRPr="00856ECB">
        <w:rPr>
          <w:rFonts w:asciiTheme="majorBidi" w:hAnsiTheme="majorBidi" w:cstheme="majorBidi"/>
        </w:rPr>
        <w:t>immunomodulatory</w:t>
      </w:r>
      <w:proofErr w:type="spellEnd"/>
      <w:r w:rsidRPr="00856ECB">
        <w:rPr>
          <w:rFonts w:asciiTheme="majorBidi" w:hAnsiTheme="majorBidi" w:cstheme="majorBidi"/>
        </w:rPr>
        <w:t xml:space="preserve"> maturation of dendritic cells. These findings suggest that specific probiotic strains may offer therapeutic benefit in autoimmune disorders by promoting anti-inflammatory immune responses </w:t>
      </w:r>
      <w:r w:rsidR="0037629D" w:rsidRPr="00856ECB">
        <w:rPr>
          <w:rFonts w:asciiTheme="majorBidi" w:hAnsiTheme="majorBidi" w:cstheme="majorBidi"/>
        </w:rPr>
        <w:fldChar w:fldCharType="begin"/>
      </w:r>
      <w:r w:rsidR="00B87818" w:rsidRPr="00856ECB">
        <w:rPr>
          <w:rFonts w:asciiTheme="majorBidi" w:hAnsiTheme="majorBidi" w:cstheme="majorBidi"/>
        </w:rPr>
        <w:instrText xml:space="preserve"> ADDIN EN.CITE &lt;EndNote&gt;&lt;Cite&gt;&lt;Author&gt;De Oliveira&lt;/Author&gt;&lt;Year&gt;2023&lt;/Year&gt;&lt;RecNum&gt;271&lt;/RecNum&gt;&lt;DisplayText&gt;(43)&lt;/DisplayText&gt;&lt;record&gt;&lt;rec-number&gt;271&lt;/rec-number&gt;&lt;foreign-keys&gt;&lt;key app="EN" db-id="exwvr9fd40te9ner0f4ptrrorttf9svzawdd" timestamp="1751822108"&gt;271&lt;/key&gt;&lt;/foreign-keys&gt;&lt;ref-type name="Journal Article"&gt;17&lt;/ref-type&gt;&lt;contributors&gt;&lt;authors&gt;&lt;author&gt;De Oliveira, Fellipe Lopes&lt;/author&gt;&lt;author&gt;Salgaço, Mateus Kawata&lt;/author&gt;&lt;author&gt;de Oliveira, Marina Toscano&lt;/author&gt;&lt;author&gt;Mesa, Victoria&lt;/author&gt;&lt;author&gt;Sartoratto, Adilson&lt;/author&gt;&lt;author&gt;Peregrino, Antonio Medeiros&lt;/author&gt;&lt;author&gt;Ramos, Williams Santos&lt;/author&gt;&lt;author&gt;Sivieri, Katia&lt;/author&gt;&lt;/authors&gt;&lt;/contributors&gt;&lt;titles&gt;&lt;title&gt;Exploring the potential of Lactobacillus helveticus R0052 and Bifidobacterium longum R0175 as promising psychobiotics using SHIME&lt;/title&gt;&lt;secondary-title&gt;Nutrients&lt;/secondary-title&gt;&lt;/titles&gt;&lt;periodical&gt;&lt;full-title&gt;Nutrients&lt;/full-title&gt;&lt;/periodical&gt;&lt;pages&gt;1521&lt;/pages&gt;&lt;volume&gt;15&lt;/volume&gt;&lt;number&gt;6&lt;/number&gt;&lt;dates&gt;&lt;year&gt;2023&lt;/year&gt;&lt;/dates&gt;&lt;isbn&gt;2072-6643&lt;/isbn&gt;&lt;urls&gt;&lt;/urls&gt;&lt;/record&gt;&lt;/Cite&gt;&lt;/EndNote&gt;</w:instrText>
      </w:r>
      <w:r w:rsidR="0037629D" w:rsidRPr="00856ECB">
        <w:rPr>
          <w:rFonts w:asciiTheme="majorBidi" w:hAnsiTheme="majorBidi" w:cstheme="majorBidi"/>
        </w:rPr>
        <w:fldChar w:fldCharType="separate"/>
      </w:r>
      <w:r w:rsidR="00B87818" w:rsidRPr="00856ECB">
        <w:rPr>
          <w:rFonts w:asciiTheme="majorBidi" w:hAnsiTheme="majorBidi" w:cstheme="majorBidi"/>
          <w:noProof/>
        </w:rPr>
        <w:t>(43)</w:t>
      </w:r>
      <w:r w:rsidR="0037629D" w:rsidRPr="00856ECB">
        <w:rPr>
          <w:rFonts w:asciiTheme="majorBidi" w:hAnsiTheme="majorBidi" w:cstheme="majorBidi"/>
        </w:rPr>
        <w:fldChar w:fldCharType="end"/>
      </w:r>
      <w:r w:rsidR="0068107A" w:rsidRPr="00856ECB">
        <w:rPr>
          <w:rFonts w:asciiTheme="majorBidi" w:hAnsiTheme="majorBidi" w:cstheme="majorBidi"/>
        </w:rPr>
        <w:t>.</w:t>
      </w:r>
      <w:bookmarkStart w:id="4" w:name="_Hlk204199219"/>
    </w:p>
    <w:p w14:paraId="336ECF7D" w14:textId="4A06C5C5" w:rsidR="00753B04" w:rsidRPr="00856ECB" w:rsidRDefault="00753B04" w:rsidP="009A0C39">
      <w:pPr>
        <w:pStyle w:val="Heading2"/>
        <w:jc w:val="both"/>
        <w:rPr>
          <w:rFonts w:asciiTheme="majorBidi" w:hAnsiTheme="majorBidi"/>
          <w:sz w:val="24"/>
          <w:szCs w:val="24"/>
        </w:rPr>
      </w:pPr>
      <w:proofErr w:type="spellStart"/>
      <w:r w:rsidRPr="00856ECB">
        <w:rPr>
          <w:rFonts w:asciiTheme="majorBidi" w:hAnsiTheme="majorBidi"/>
          <w:sz w:val="24"/>
          <w:szCs w:val="24"/>
        </w:rPr>
        <w:t>Postbiotics</w:t>
      </w:r>
      <w:proofErr w:type="spellEnd"/>
      <w:r w:rsidRPr="00856ECB">
        <w:rPr>
          <w:rFonts w:asciiTheme="majorBidi" w:hAnsiTheme="majorBidi"/>
          <w:sz w:val="24"/>
          <w:szCs w:val="24"/>
        </w:rPr>
        <w:t xml:space="preserve"> as Next-Generation Therapeutics</w:t>
      </w:r>
    </w:p>
    <w:p w14:paraId="04957B3A" w14:textId="1CD523BB" w:rsidR="00156F1E" w:rsidRPr="00856ECB" w:rsidRDefault="00605A9E" w:rsidP="009A0C39">
      <w:pPr>
        <w:spacing w:line="276" w:lineRule="auto"/>
        <w:jc w:val="both"/>
        <w:rPr>
          <w:rFonts w:asciiTheme="majorBidi" w:hAnsiTheme="majorBidi" w:cstheme="majorBidi"/>
          <w:color w:val="000000" w:themeColor="text1"/>
        </w:rPr>
      </w:pPr>
      <w:r w:rsidRPr="00856ECB">
        <w:rPr>
          <w:rFonts w:asciiTheme="majorBidi" w:hAnsiTheme="majorBidi" w:cstheme="majorBidi"/>
          <w:color w:val="000000" w:themeColor="text1"/>
        </w:rPr>
        <w:t xml:space="preserve">The concept of </w:t>
      </w:r>
      <w:proofErr w:type="spellStart"/>
      <w:r w:rsidRPr="00856ECB">
        <w:rPr>
          <w:rFonts w:asciiTheme="majorBidi" w:hAnsiTheme="majorBidi" w:cstheme="majorBidi"/>
          <w:color w:val="000000" w:themeColor="text1"/>
        </w:rPr>
        <w:t>postbiotics</w:t>
      </w:r>
      <w:proofErr w:type="spellEnd"/>
      <w:r w:rsidRPr="00856ECB">
        <w:rPr>
          <w:rFonts w:asciiTheme="majorBidi" w:hAnsiTheme="majorBidi" w:cstheme="majorBidi"/>
          <w:color w:val="000000" w:themeColor="text1"/>
        </w:rPr>
        <w:t xml:space="preserve"> has evolved over time with varying definitions. Initially, </w:t>
      </w:r>
      <w:proofErr w:type="spellStart"/>
      <w:r w:rsidRPr="00856ECB">
        <w:rPr>
          <w:rFonts w:asciiTheme="majorBidi" w:hAnsiTheme="majorBidi" w:cstheme="majorBidi"/>
          <w:color w:val="000000" w:themeColor="text1"/>
        </w:rPr>
        <w:t>Tsilingiri</w:t>
      </w:r>
      <w:proofErr w:type="spellEnd"/>
      <w:r w:rsidRPr="00856ECB">
        <w:rPr>
          <w:rFonts w:asciiTheme="majorBidi" w:hAnsiTheme="majorBidi" w:cstheme="majorBidi"/>
          <w:color w:val="000000" w:themeColor="text1"/>
        </w:rPr>
        <w:t xml:space="preserve"> et al. described </w:t>
      </w:r>
      <w:proofErr w:type="spellStart"/>
      <w:r w:rsidRPr="00856ECB">
        <w:rPr>
          <w:rFonts w:asciiTheme="majorBidi" w:hAnsiTheme="majorBidi" w:cstheme="majorBidi"/>
          <w:color w:val="000000" w:themeColor="text1"/>
        </w:rPr>
        <w:t>postbiotics</w:t>
      </w:r>
      <w:proofErr w:type="spellEnd"/>
      <w:r w:rsidRPr="00856ECB">
        <w:rPr>
          <w:rFonts w:asciiTheme="majorBidi" w:hAnsiTheme="majorBidi" w:cstheme="majorBidi"/>
          <w:color w:val="000000" w:themeColor="text1"/>
        </w:rPr>
        <w:t xml:space="preserve"> as metabolic byproducts generated by probiotic microorganisms that confer health benefits to the host </w:t>
      </w:r>
      <w:r w:rsidR="00156F1E" w:rsidRPr="00856ECB">
        <w:rPr>
          <w:rFonts w:asciiTheme="majorBidi" w:hAnsiTheme="majorBidi" w:cstheme="majorBidi"/>
          <w:color w:val="000000" w:themeColor="text1"/>
        </w:rPr>
        <w:fldChar w:fldCharType="begin"/>
      </w:r>
      <w:r w:rsidR="00B87818" w:rsidRPr="00856ECB">
        <w:rPr>
          <w:rFonts w:asciiTheme="majorBidi" w:hAnsiTheme="majorBidi" w:cstheme="majorBidi"/>
          <w:color w:val="000000" w:themeColor="text1"/>
        </w:rPr>
        <w:instrText xml:space="preserve"> ADDIN EN.CITE &lt;EndNote&gt;&lt;Cite&gt;&lt;Author&gt;Zhong&lt;/Author&gt;&lt;Year&gt;2022&lt;/Year&gt;&lt;RecNum&gt;203&lt;/RecNum&gt;&lt;DisplayText&gt;(44)&lt;/DisplayText&gt;&lt;record&gt;&lt;rec-number&gt;203&lt;/rec-number&gt;&lt;foreign-keys&gt;&lt;key app="EN" db-id="exwvr9fd40te9ner0f4ptrrorttf9svzawdd" timestamp="1751608381"&gt;203&lt;/key&gt;&lt;/foreign-keys&gt;&lt;ref-type name="Journal Article"&gt;17&lt;/ref-type&gt;&lt;contributors&gt;&lt;authors&gt;&lt;author&gt;Zhong, Yifan&lt;/author&gt;&lt;author&gt;Wang, Shanshan&lt;/author&gt;&lt;author&gt;Di, Hanqiu&lt;/author&gt;&lt;author&gt;Deng, Zhaoxi&lt;/author&gt;&lt;author&gt;Liu, Jianxin&lt;/author&gt;&lt;author&gt;Wang, Haifeng&lt;/author&gt;&lt;/authors&gt;&lt;/contributors&gt;&lt;titles&gt;&lt;title&gt;Gut health benefit and application of postbiotics in animal production&lt;/title&gt;&lt;secondary-title&gt;Journal of Animal Science and Biotechnology&lt;/secondary-title&gt;&lt;/titles&gt;&lt;periodical&gt;&lt;full-title&gt;Journal of Animal Science and Biotechnology&lt;/full-title&gt;&lt;/periodical&gt;&lt;pages&gt;38&lt;/pages&gt;&lt;volume&gt;13&lt;/volume&gt;&lt;number&gt;1&lt;/number&gt;&lt;dates&gt;&lt;year&gt;2022&lt;/year&gt;&lt;/dates&gt;&lt;isbn&gt;2049-1891&lt;/isbn&gt;&lt;urls&gt;&lt;/urls&gt;&lt;/record&gt;&lt;/Cite&gt;&lt;/EndNote&gt;</w:instrText>
      </w:r>
      <w:r w:rsidR="00156F1E" w:rsidRPr="00856ECB">
        <w:rPr>
          <w:rFonts w:asciiTheme="majorBidi" w:hAnsiTheme="majorBidi" w:cstheme="majorBidi"/>
          <w:color w:val="000000" w:themeColor="text1"/>
        </w:rPr>
        <w:fldChar w:fldCharType="separate"/>
      </w:r>
      <w:r w:rsidR="00B87818" w:rsidRPr="00856ECB">
        <w:rPr>
          <w:rFonts w:asciiTheme="majorBidi" w:hAnsiTheme="majorBidi" w:cstheme="majorBidi"/>
          <w:noProof/>
          <w:color w:val="000000" w:themeColor="text1"/>
        </w:rPr>
        <w:t>(44)</w:t>
      </w:r>
      <w:r w:rsidR="00156F1E" w:rsidRPr="00856ECB">
        <w:rPr>
          <w:rFonts w:asciiTheme="majorBidi" w:hAnsiTheme="majorBidi" w:cstheme="majorBidi"/>
          <w:color w:val="000000" w:themeColor="text1"/>
        </w:rPr>
        <w:fldChar w:fldCharType="end"/>
      </w:r>
      <w:r w:rsidR="001D549A" w:rsidRPr="00856ECB">
        <w:rPr>
          <w:rFonts w:asciiTheme="majorBidi" w:hAnsiTheme="majorBidi" w:cstheme="majorBidi"/>
          <w:color w:val="000000" w:themeColor="text1"/>
        </w:rPr>
        <w:t xml:space="preserve">. </w:t>
      </w:r>
      <w:r w:rsidRPr="00856ECB">
        <w:rPr>
          <w:rFonts w:asciiTheme="majorBidi" w:hAnsiTheme="majorBidi" w:cstheme="majorBidi"/>
          <w:color w:val="000000" w:themeColor="text1"/>
        </w:rPr>
        <w:t xml:space="preserve">In 2019, the International Scientific Association of Probiotics and Prebiotics (ISAPP) offered a more precise definition: “a preparation of inanimate microorganisms and/or their components that confers a health benefit on the host” </w:t>
      </w:r>
      <w:r w:rsidR="00156F1E" w:rsidRPr="00856ECB">
        <w:rPr>
          <w:rFonts w:asciiTheme="majorBidi" w:hAnsiTheme="majorBidi" w:cstheme="majorBidi"/>
          <w:color w:val="000000" w:themeColor="text1"/>
        </w:rPr>
        <w:fldChar w:fldCharType="begin"/>
      </w:r>
      <w:r w:rsidR="00B87818" w:rsidRPr="00856ECB">
        <w:rPr>
          <w:rFonts w:asciiTheme="majorBidi" w:hAnsiTheme="majorBidi" w:cstheme="majorBidi"/>
          <w:color w:val="000000" w:themeColor="text1"/>
        </w:rPr>
        <w:instrText xml:space="preserve"> ADDIN EN.CITE &lt;EndNote&gt;&lt;Cite&gt;&lt;Author&gt;Salminen&lt;/Author&gt;&lt;Year&gt;2021&lt;/Year&gt;&lt;RecNum&gt;365&lt;/RecNum&gt;&lt;DisplayText&gt;(45)&lt;/DisplayText&gt;&lt;record&gt;&lt;rec-number&gt;365&lt;/rec-number&gt;&lt;foreign-keys&gt;&lt;key app="EN" db-id="exwvr9fd40te9ner0f4ptrrorttf9svzawdd" timestamp="1753327695"&gt;365&lt;/key&gt;&lt;/foreign-keys&gt;&lt;ref-type name="Journal Article"&gt;17&lt;/ref-type&gt;&lt;contributors&gt;&lt;authors&gt;&lt;author&gt;Salminen, Seppo&lt;/author&gt;&lt;author&gt;Collado, Maria Carmen&lt;/author&gt;&lt;author&gt;Endo, Akihito&lt;/author&gt;&lt;author&gt;Hill, Colin&lt;/author&gt;&lt;author&gt;Lebeer, Sarah&lt;/author&gt;&lt;author&gt;Quigley, Eamonn MM&lt;/author&gt;&lt;author&gt;Sanders, Mary Ellen&lt;/author&gt;&lt;author&gt;Shamir, Raanan&lt;/author&gt;&lt;author&gt;Swann, Jonathan R&lt;/author&gt;&lt;author&gt;Szajewska, Hania&lt;/author&gt;&lt;/authors&gt;&lt;/contributors&gt;&lt;titles&gt;&lt;title&gt;The International Scientific Association of Probiotics and Prebiotics (ISAPP) consensus statement on the definition and scope of postbiotics&lt;/title&gt;&lt;secondary-title&gt;Nature reviews Gastroenterology &amp;amp; hepatology&lt;/secondary-title&gt;&lt;/titles&gt;&lt;periodical&gt;&lt;full-title&gt;Nature Reviews Gastroenterology &amp;amp; Hepatology&lt;/full-title&gt;&lt;/periodical&gt;&lt;pages&gt;649-667&lt;/pages&gt;&lt;volume&gt;18&lt;/volume&gt;&lt;number&gt;9&lt;/number&gt;&lt;dates&gt;&lt;year&gt;2021&lt;/year&gt;&lt;/dates&gt;&lt;isbn&gt;1759-5045&lt;/isbn&gt;&lt;urls&gt;&lt;/urls&gt;&lt;/record&gt;&lt;/Cite&gt;&lt;/EndNote&gt;</w:instrText>
      </w:r>
      <w:r w:rsidR="00156F1E" w:rsidRPr="00856ECB">
        <w:rPr>
          <w:rFonts w:asciiTheme="majorBidi" w:hAnsiTheme="majorBidi" w:cstheme="majorBidi"/>
          <w:color w:val="000000" w:themeColor="text1"/>
        </w:rPr>
        <w:fldChar w:fldCharType="separate"/>
      </w:r>
      <w:r w:rsidR="00B87818" w:rsidRPr="00856ECB">
        <w:rPr>
          <w:rFonts w:asciiTheme="majorBidi" w:hAnsiTheme="majorBidi" w:cstheme="majorBidi"/>
          <w:noProof/>
          <w:color w:val="000000" w:themeColor="text1"/>
        </w:rPr>
        <w:t>(45)</w:t>
      </w:r>
      <w:r w:rsidR="00156F1E" w:rsidRPr="00856ECB">
        <w:rPr>
          <w:rFonts w:asciiTheme="majorBidi" w:hAnsiTheme="majorBidi" w:cstheme="majorBidi"/>
          <w:color w:val="000000" w:themeColor="text1"/>
        </w:rPr>
        <w:fldChar w:fldCharType="end"/>
      </w:r>
      <w:r w:rsidR="00156F1E" w:rsidRPr="00856ECB">
        <w:rPr>
          <w:rFonts w:asciiTheme="majorBidi" w:hAnsiTheme="majorBidi" w:cstheme="majorBidi"/>
          <w:color w:val="000000" w:themeColor="text1"/>
        </w:rPr>
        <w:t>.</w:t>
      </w:r>
      <w:r w:rsidRPr="00856ECB">
        <w:rPr>
          <w:rFonts w:asciiTheme="majorBidi" w:hAnsiTheme="majorBidi" w:cstheme="majorBidi"/>
          <w:color w:val="000000" w:themeColor="text1"/>
        </w:rPr>
        <w:t xml:space="preserve"> This </w:t>
      </w:r>
      <w:r w:rsidRPr="00856ECB">
        <w:rPr>
          <w:rFonts w:asciiTheme="majorBidi" w:hAnsiTheme="majorBidi" w:cstheme="majorBidi"/>
          <w:color w:val="000000" w:themeColor="text1"/>
        </w:rPr>
        <w:lastRenderedPageBreak/>
        <w:t>definition underscores the functional value of non-viable microbes or their structural elements in promoting health.</w:t>
      </w:r>
    </w:p>
    <w:p w14:paraId="5490E62D" w14:textId="1E2C21BE" w:rsidR="00E87AFA" w:rsidRPr="00856ECB" w:rsidRDefault="00E87AFA" w:rsidP="009A0C39">
      <w:pPr>
        <w:spacing w:line="276" w:lineRule="auto"/>
        <w:jc w:val="both"/>
        <w:rPr>
          <w:rFonts w:asciiTheme="majorBidi" w:hAnsiTheme="majorBidi" w:cstheme="majorBidi"/>
          <w:color w:val="000000" w:themeColor="text1"/>
        </w:rPr>
      </w:pPr>
      <w:bookmarkStart w:id="5" w:name="_Hlk209869586"/>
    </w:p>
    <w:p w14:paraId="1E1726BB" w14:textId="7851451F" w:rsidR="00714DF9" w:rsidRPr="00856ECB" w:rsidRDefault="00714DF9" w:rsidP="00CE21C6">
      <w:pPr>
        <w:spacing w:line="276" w:lineRule="auto"/>
        <w:rPr>
          <w:rFonts w:asciiTheme="majorBidi" w:hAnsiTheme="majorBidi" w:cstheme="majorBidi"/>
          <w:color w:val="000000" w:themeColor="text1"/>
        </w:rPr>
      </w:pPr>
      <w:proofErr w:type="gramStart"/>
      <w:r w:rsidRPr="00856ECB">
        <w:rPr>
          <w:rFonts w:asciiTheme="majorBidi" w:hAnsiTheme="majorBidi" w:cstheme="majorBidi"/>
          <w:color w:val="000000" w:themeColor="text1"/>
        </w:rPr>
        <w:t>Tabl</w:t>
      </w:r>
      <w:r w:rsidR="00EA1FD4" w:rsidRPr="00856ECB">
        <w:rPr>
          <w:rFonts w:asciiTheme="majorBidi" w:hAnsiTheme="majorBidi" w:cstheme="majorBidi"/>
          <w:color w:val="000000" w:themeColor="text1"/>
        </w:rPr>
        <w:t>e 1.</w:t>
      </w:r>
      <w:proofErr w:type="gramEnd"/>
      <w:r w:rsidR="00EA1FD4" w:rsidRPr="00856ECB">
        <w:rPr>
          <w:rFonts w:asciiTheme="majorBidi" w:hAnsiTheme="majorBidi" w:cstheme="majorBidi"/>
          <w:color w:val="000000" w:themeColor="text1"/>
        </w:rPr>
        <w:t xml:space="preserve"> </w:t>
      </w:r>
      <w:r w:rsidRPr="00856ECB">
        <w:rPr>
          <w:rFonts w:asciiTheme="majorBidi" w:hAnsiTheme="majorBidi" w:cstheme="majorBidi"/>
          <w:color w:val="000000" w:themeColor="text1"/>
        </w:rPr>
        <w:t xml:space="preserve">Classification of </w:t>
      </w:r>
      <w:proofErr w:type="spellStart"/>
      <w:r w:rsidRPr="00856ECB">
        <w:rPr>
          <w:rFonts w:asciiTheme="majorBidi" w:hAnsiTheme="majorBidi" w:cstheme="majorBidi"/>
          <w:color w:val="000000" w:themeColor="text1"/>
        </w:rPr>
        <w:t>postbiotics</w:t>
      </w:r>
      <w:proofErr w:type="spellEnd"/>
    </w:p>
    <w:bookmarkEnd w:id="5"/>
    <w:p w14:paraId="780C8D38" w14:textId="1B320240" w:rsidR="0055241A" w:rsidRPr="00856ECB" w:rsidRDefault="0055241A" w:rsidP="009A0C39">
      <w:pPr>
        <w:spacing w:line="276" w:lineRule="auto"/>
        <w:jc w:val="both"/>
        <w:rPr>
          <w:rFonts w:asciiTheme="majorBidi" w:hAnsiTheme="majorBidi" w:cstheme="majorBidi"/>
          <w:color w:val="000000" w:themeColor="text1"/>
        </w:rPr>
      </w:pPr>
    </w:p>
    <w:p w14:paraId="688D138F" w14:textId="36F3AB62" w:rsidR="00E87AFA" w:rsidRPr="00856ECB" w:rsidRDefault="00E87AFA" w:rsidP="009A0C39">
      <w:pPr>
        <w:spacing w:line="276" w:lineRule="auto"/>
        <w:jc w:val="both"/>
        <w:rPr>
          <w:rFonts w:asciiTheme="majorBidi" w:hAnsiTheme="majorBidi" w:cstheme="majorBidi"/>
          <w:color w:val="000000" w:themeColor="text1"/>
        </w:rPr>
      </w:pPr>
    </w:p>
    <w:p w14:paraId="62BE2CE3" w14:textId="3195B2B9" w:rsidR="00296D79" w:rsidRPr="008B5AB2" w:rsidRDefault="00605A9E" w:rsidP="00296D79">
      <w:pPr>
        <w:pStyle w:val="Heading2"/>
        <w:rPr>
          <w:rFonts w:asciiTheme="majorBidi" w:hAnsiTheme="majorBidi"/>
          <w:i/>
          <w:iCs/>
        </w:rPr>
      </w:pPr>
      <w:r w:rsidRPr="008B5AB2">
        <w:rPr>
          <w:rFonts w:asciiTheme="majorBidi" w:hAnsiTheme="majorBidi"/>
          <w:i/>
          <w:iCs/>
        </w:rPr>
        <w:t xml:space="preserve">Advantages of </w:t>
      </w:r>
      <w:proofErr w:type="spellStart"/>
      <w:r w:rsidRPr="008B5AB2">
        <w:rPr>
          <w:rFonts w:asciiTheme="majorBidi" w:hAnsiTheme="majorBidi"/>
          <w:i/>
          <w:iCs/>
        </w:rPr>
        <w:t>Postbiotics</w:t>
      </w:r>
      <w:proofErr w:type="spellEnd"/>
      <w:r w:rsidRPr="008B5AB2">
        <w:rPr>
          <w:rFonts w:asciiTheme="majorBidi" w:hAnsiTheme="majorBidi"/>
          <w:i/>
          <w:iCs/>
        </w:rPr>
        <w:t xml:space="preserve"> Over Probiotics</w:t>
      </w:r>
    </w:p>
    <w:p w14:paraId="1324425B" w14:textId="453D9A45" w:rsidR="00296D79" w:rsidRPr="00856ECB" w:rsidRDefault="00296D79" w:rsidP="00296D79">
      <w:pPr>
        <w:spacing w:line="276" w:lineRule="auto"/>
        <w:jc w:val="both"/>
        <w:rPr>
          <w:rFonts w:asciiTheme="majorBidi" w:hAnsiTheme="majorBidi" w:cstheme="majorBidi"/>
          <w:color w:val="000000" w:themeColor="text1"/>
        </w:rPr>
      </w:pPr>
      <w:r w:rsidRPr="00856ECB">
        <w:rPr>
          <w:rFonts w:asciiTheme="majorBidi" w:hAnsiTheme="majorBidi" w:cstheme="majorBidi"/>
          <w:b/>
          <w:bCs/>
          <w:color w:val="000000" w:themeColor="text1"/>
        </w:rPr>
        <w:t>Stability:</w:t>
      </w:r>
      <w:r w:rsidRPr="00856ECB">
        <w:rPr>
          <w:rFonts w:asciiTheme="majorBidi" w:hAnsiTheme="majorBidi" w:cstheme="majorBidi"/>
          <w:color w:val="000000" w:themeColor="text1"/>
        </w:rPr>
        <w:t xml:space="preserve"> </w:t>
      </w:r>
      <w:r w:rsidR="00605A9E" w:rsidRPr="00856ECB">
        <w:rPr>
          <w:rFonts w:asciiTheme="majorBidi" w:hAnsiTheme="majorBidi" w:cstheme="majorBidi"/>
          <w:color w:val="000000" w:themeColor="text1"/>
        </w:rPr>
        <w:t xml:space="preserve">One of the primary advantages of </w:t>
      </w:r>
      <w:proofErr w:type="spellStart"/>
      <w:r w:rsidR="00605A9E" w:rsidRPr="00856ECB">
        <w:rPr>
          <w:rFonts w:asciiTheme="majorBidi" w:hAnsiTheme="majorBidi" w:cstheme="majorBidi"/>
          <w:color w:val="000000" w:themeColor="text1"/>
        </w:rPr>
        <w:t>postbiotics</w:t>
      </w:r>
      <w:proofErr w:type="spellEnd"/>
      <w:r w:rsidR="00605A9E" w:rsidRPr="00856ECB">
        <w:rPr>
          <w:rFonts w:asciiTheme="majorBidi" w:hAnsiTheme="majorBidi" w:cstheme="majorBidi"/>
          <w:color w:val="000000" w:themeColor="text1"/>
        </w:rPr>
        <w:t xml:space="preserve"> over live probiotics is their enhanced stability. </w:t>
      </w:r>
      <w:proofErr w:type="spellStart"/>
      <w:r w:rsidR="00605A9E" w:rsidRPr="00856ECB">
        <w:rPr>
          <w:rFonts w:asciiTheme="majorBidi" w:hAnsiTheme="majorBidi" w:cstheme="majorBidi"/>
          <w:color w:val="000000" w:themeColor="text1"/>
        </w:rPr>
        <w:t>Postbiotics</w:t>
      </w:r>
      <w:proofErr w:type="spellEnd"/>
      <w:r w:rsidR="00605A9E" w:rsidRPr="00856ECB">
        <w:rPr>
          <w:rFonts w:asciiTheme="majorBidi" w:hAnsiTheme="majorBidi" w:cstheme="majorBidi"/>
          <w:color w:val="000000" w:themeColor="text1"/>
        </w:rPr>
        <w:t xml:space="preserve"> are resistant to degradation from environmental stressors such as heat, pH fluctuations, and oxygen exposure. Unlike probiotics, which require cold-chain logistics for storage and transportation, </w:t>
      </w:r>
      <w:proofErr w:type="spellStart"/>
      <w:r w:rsidR="00605A9E" w:rsidRPr="00856ECB">
        <w:rPr>
          <w:rFonts w:asciiTheme="majorBidi" w:hAnsiTheme="majorBidi" w:cstheme="majorBidi"/>
          <w:color w:val="000000" w:themeColor="text1"/>
        </w:rPr>
        <w:t>postbiotics</w:t>
      </w:r>
      <w:proofErr w:type="spellEnd"/>
      <w:r w:rsidR="00605A9E" w:rsidRPr="00856ECB">
        <w:rPr>
          <w:rFonts w:asciiTheme="majorBidi" w:hAnsiTheme="majorBidi" w:cstheme="majorBidi"/>
          <w:color w:val="000000" w:themeColor="text1"/>
        </w:rPr>
        <w:t xml:space="preserve"> retain their structural and functional integrity throughout processing and shelf life</w:t>
      </w:r>
      <w:r w:rsidR="004B6B5A" w:rsidRPr="00856ECB">
        <w:rPr>
          <w:rFonts w:asciiTheme="majorBidi" w:hAnsiTheme="majorBidi" w:cstheme="majorBidi"/>
          <w:color w:val="000000" w:themeColor="text1"/>
        </w:rPr>
        <w:t xml:space="preserve"> </w:t>
      </w:r>
      <w:r w:rsidR="00F33A72" w:rsidRPr="00856ECB">
        <w:rPr>
          <w:rFonts w:asciiTheme="majorBidi" w:hAnsiTheme="majorBidi" w:cstheme="majorBidi"/>
          <w:color w:val="000000" w:themeColor="text1"/>
        </w:rPr>
        <w:fldChar w:fldCharType="begin"/>
      </w:r>
      <w:r w:rsidR="00BF6FEE">
        <w:rPr>
          <w:rFonts w:asciiTheme="majorBidi" w:hAnsiTheme="majorBidi" w:cstheme="majorBidi"/>
          <w:color w:val="000000" w:themeColor="text1"/>
        </w:rPr>
        <w:instrText xml:space="preserve"> ADDIN EN.CITE &lt;EndNote&gt;&lt;Cite&gt;&lt;Author&gt;Dodd&lt;/Author&gt;&lt;Year&gt;2014&lt;/Year&gt;&lt;RecNum&gt;369&lt;/RecNum&gt;&lt;DisplayText&gt;(46)&lt;/DisplayText&gt;&lt;record&gt;&lt;rec-number&gt;369&lt;/rec-number&gt;&lt;foreign-keys&gt;&lt;key app="EN" db-id="exwvr9fd40te9ner0f4ptrrorttf9svzawdd" timestamp="1753432000"&gt;369&lt;/key&gt;&lt;/foreign-keys&gt;&lt;ref-type name="Book Section"&gt;5&lt;/ref-type&gt;&lt;contributors&gt;&lt;authors&gt;&lt;author&gt;Dodd, Malcolm C&lt;/author&gt;&lt;author&gt;Bouwer, Jacobus J&lt;/author&gt;&lt;/authors&gt;&lt;/contributors&gt;&lt;titles&gt;&lt;title&gt;The supply value chain of fresh produce from field to home: Refrigeration and other supporting technologies&lt;/title&gt;&lt;secondary-title&gt;Postharvest handling&lt;/secondary-title&gt;&lt;/titles&gt;&lt;pages&gt;449-483&lt;/pages&gt;&lt;dates&gt;&lt;year&gt;2014&lt;/year&gt;&lt;/dates&gt;&lt;publisher&gt;Elsevier&lt;/publisher&gt;&lt;urls&gt;&lt;/urls&gt;&lt;/record&gt;&lt;/Cite&gt;&lt;/EndNote&gt;</w:instrText>
      </w:r>
      <w:r w:rsidR="00F33A72" w:rsidRPr="00856ECB">
        <w:rPr>
          <w:rFonts w:asciiTheme="majorBidi" w:hAnsiTheme="majorBidi" w:cstheme="majorBidi"/>
          <w:color w:val="000000" w:themeColor="text1"/>
        </w:rPr>
        <w:fldChar w:fldCharType="separate"/>
      </w:r>
      <w:r w:rsidR="00BF6FEE">
        <w:rPr>
          <w:rFonts w:asciiTheme="majorBidi" w:hAnsiTheme="majorBidi" w:cstheme="majorBidi"/>
          <w:noProof/>
          <w:color w:val="000000" w:themeColor="text1"/>
        </w:rPr>
        <w:t>(46)</w:t>
      </w:r>
      <w:r w:rsidR="00F33A72" w:rsidRPr="00856ECB">
        <w:rPr>
          <w:rFonts w:asciiTheme="majorBidi" w:hAnsiTheme="majorBidi" w:cstheme="majorBidi"/>
          <w:color w:val="000000" w:themeColor="text1"/>
        </w:rPr>
        <w:fldChar w:fldCharType="end"/>
      </w:r>
      <w:r w:rsidR="00E87AFA" w:rsidRPr="00856ECB">
        <w:rPr>
          <w:rFonts w:asciiTheme="majorBidi" w:hAnsiTheme="majorBidi" w:cstheme="majorBidi"/>
          <w:color w:val="000000" w:themeColor="text1"/>
        </w:rPr>
        <w:t xml:space="preserve">, </w:t>
      </w:r>
      <w:r w:rsidR="00537DAA" w:rsidRPr="00856ECB">
        <w:rPr>
          <w:rFonts w:asciiTheme="majorBidi" w:hAnsiTheme="majorBidi" w:cstheme="majorBidi"/>
          <w:color w:val="000000" w:themeColor="text1"/>
        </w:rPr>
        <w:t xml:space="preserve">This stability allows for their incorporation into a wide range of formulations—including capsules, powders, and functional foods—via processes like spray-drying and microencapsulation. As a result, </w:t>
      </w:r>
      <w:proofErr w:type="spellStart"/>
      <w:r w:rsidR="00537DAA" w:rsidRPr="00856ECB">
        <w:rPr>
          <w:rFonts w:asciiTheme="majorBidi" w:hAnsiTheme="majorBidi" w:cstheme="majorBidi"/>
          <w:color w:val="000000" w:themeColor="text1"/>
        </w:rPr>
        <w:t>postbiotics</w:t>
      </w:r>
      <w:proofErr w:type="spellEnd"/>
      <w:r w:rsidR="00537DAA" w:rsidRPr="00856ECB">
        <w:rPr>
          <w:rFonts w:asciiTheme="majorBidi" w:hAnsiTheme="majorBidi" w:cstheme="majorBidi"/>
          <w:color w:val="000000" w:themeColor="text1"/>
        </w:rPr>
        <w:t xml:space="preserve"> ensure consistent dosing, prolonged shelf life, and predictable bioactivity, making them a dependable option for modulating the gut-brain axis and supporting immune function, particularly in inflammatory bowel diseases and related conditions </w:t>
      </w:r>
      <w:r w:rsidR="007C46BF" w:rsidRPr="00856ECB">
        <w:rPr>
          <w:rFonts w:asciiTheme="majorBidi" w:hAnsiTheme="majorBidi" w:cstheme="majorBidi"/>
          <w:color w:val="000000" w:themeColor="text1"/>
        </w:rPr>
        <w:fldChar w:fldCharType="begin">
          <w:fldData xml:space="preserve">PEVuZE5vdGU+PENpdGU+PEF1dGhvcj5XdTwvQXV0aG9yPjxZZWFyPjIwMjI8L1llYXI+PFJlY051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</w:fldData>
        </w:fldChar>
      </w:r>
      <w:r w:rsidR="00BF6FEE">
        <w:rPr>
          <w:rFonts w:asciiTheme="majorBidi" w:hAnsiTheme="majorBidi" w:cstheme="majorBidi"/>
          <w:color w:val="000000" w:themeColor="text1"/>
        </w:rPr>
        <w:instrText xml:space="preserve"> ADDIN EN.CITE </w:instrText>
      </w:r>
      <w:r w:rsidR="00BF6FEE">
        <w:rPr>
          <w:rFonts w:asciiTheme="majorBidi" w:hAnsiTheme="majorBidi" w:cstheme="majorBidi"/>
          <w:color w:val="000000" w:themeColor="text1"/>
        </w:rPr>
        <w:fldChar w:fldCharType="begin">
          <w:fldData xml:space="preserve">PEVuZE5vdGU+PENpdGU+PEF1dGhvcj5XdTwvQXV0aG9yPjxZZWFyPjIwMjI8L1llYXI+PFJlY051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</w:fldData>
        </w:fldChar>
      </w:r>
      <w:r w:rsidR="00BF6FEE">
        <w:rPr>
          <w:rFonts w:asciiTheme="majorBidi" w:hAnsiTheme="majorBidi" w:cstheme="majorBidi"/>
          <w:color w:val="000000" w:themeColor="text1"/>
        </w:rPr>
        <w:instrText xml:space="preserve"> ADDIN EN.CITE.DATA </w:instrText>
      </w:r>
      <w:r w:rsidR="00BF6FEE">
        <w:rPr>
          <w:rFonts w:asciiTheme="majorBidi" w:hAnsiTheme="majorBidi" w:cstheme="majorBidi"/>
          <w:color w:val="000000" w:themeColor="text1"/>
        </w:rPr>
      </w:r>
      <w:r w:rsidR="00BF6FEE">
        <w:rPr>
          <w:rFonts w:asciiTheme="majorBidi" w:hAnsiTheme="majorBidi" w:cstheme="majorBidi"/>
          <w:color w:val="000000" w:themeColor="text1"/>
        </w:rPr>
        <w:fldChar w:fldCharType="end"/>
      </w:r>
      <w:r w:rsidR="007C46BF" w:rsidRPr="00856ECB">
        <w:rPr>
          <w:rFonts w:asciiTheme="majorBidi" w:hAnsiTheme="majorBidi" w:cstheme="majorBidi"/>
          <w:color w:val="000000" w:themeColor="text1"/>
        </w:rPr>
      </w:r>
      <w:r w:rsidR="007C46BF" w:rsidRPr="00856ECB">
        <w:rPr>
          <w:rFonts w:asciiTheme="majorBidi" w:hAnsiTheme="majorBidi" w:cstheme="majorBidi"/>
          <w:color w:val="000000" w:themeColor="text1"/>
        </w:rPr>
        <w:fldChar w:fldCharType="separate"/>
      </w:r>
      <w:r w:rsidR="00BF6FEE">
        <w:rPr>
          <w:rFonts w:asciiTheme="majorBidi" w:hAnsiTheme="majorBidi" w:cstheme="majorBidi"/>
          <w:noProof/>
          <w:color w:val="000000" w:themeColor="text1"/>
        </w:rPr>
        <w:t>(47, 48)</w:t>
      </w:r>
      <w:r w:rsidR="007C46BF" w:rsidRPr="00856ECB">
        <w:rPr>
          <w:rFonts w:asciiTheme="majorBidi" w:hAnsiTheme="majorBidi" w:cstheme="majorBidi"/>
          <w:color w:val="000000" w:themeColor="text1"/>
        </w:rPr>
        <w:fldChar w:fldCharType="end"/>
      </w:r>
      <w:r w:rsidR="00E87AFA" w:rsidRPr="00856ECB">
        <w:rPr>
          <w:rFonts w:asciiTheme="majorBidi" w:hAnsiTheme="majorBidi" w:cstheme="majorBidi"/>
          <w:color w:val="000000" w:themeColor="text1"/>
        </w:rPr>
        <w:t xml:space="preserve">. </w:t>
      </w:r>
    </w:p>
    <w:p w14:paraId="573EA38A" w14:textId="5D2CF73A" w:rsidR="00296D79" w:rsidRPr="00856ECB" w:rsidRDefault="00296D79" w:rsidP="00296D79">
      <w:pPr>
        <w:spacing w:line="276" w:lineRule="auto"/>
        <w:jc w:val="both"/>
        <w:rPr>
          <w:rFonts w:asciiTheme="majorBidi" w:hAnsiTheme="majorBidi" w:cstheme="majorBidi"/>
          <w:color w:val="000000" w:themeColor="text1"/>
        </w:rPr>
      </w:pPr>
      <w:r w:rsidRPr="00856ECB">
        <w:rPr>
          <w:rFonts w:asciiTheme="majorBidi" w:hAnsiTheme="majorBidi" w:cstheme="majorBidi"/>
          <w:b/>
          <w:bCs/>
          <w:color w:val="000000" w:themeColor="text1"/>
        </w:rPr>
        <w:t>Targeted action:</w:t>
      </w:r>
      <w:r w:rsidRPr="00856ECB">
        <w:rPr>
          <w:rFonts w:asciiTheme="majorBidi" w:hAnsiTheme="majorBidi" w:cstheme="majorBidi"/>
          <w:color w:val="000000" w:themeColor="text1"/>
        </w:rPr>
        <w:t xml:space="preserve"> </w:t>
      </w:r>
      <w:proofErr w:type="spellStart"/>
      <w:r w:rsidR="00537DAA" w:rsidRPr="00856ECB">
        <w:rPr>
          <w:rFonts w:asciiTheme="majorBidi" w:hAnsiTheme="majorBidi" w:cstheme="majorBidi"/>
          <w:color w:val="000000" w:themeColor="text1"/>
        </w:rPr>
        <w:t>Postbiotics</w:t>
      </w:r>
      <w:proofErr w:type="spellEnd"/>
      <w:r w:rsidR="00537DAA" w:rsidRPr="00856ECB">
        <w:rPr>
          <w:rFonts w:asciiTheme="majorBidi" w:hAnsiTheme="majorBidi" w:cstheme="majorBidi"/>
          <w:color w:val="000000" w:themeColor="text1"/>
        </w:rPr>
        <w:t xml:space="preserve"> such as butyrate demonstrate targeted </w:t>
      </w:r>
      <w:proofErr w:type="spellStart"/>
      <w:r w:rsidR="00537DAA" w:rsidRPr="00856ECB">
        <w:rPr>
          <w:rFonts w:asciiTheme="majorBidi" w:hAnsiTheme="majorBidi" w:cstheme="majorBidi"/>
          <w:color w:val="000000" w:themeColor="text1"/>
        </w:rPr>
        <w:t>immunomodulatory</w:t>
      </w:r>
      <w:proofErr w:type="spellEnd"/>
      <w:r w:rsidR="00537DAA" w:rsidRPr="00856ECB">
        <w:rPr>
          <w:rFonts w:asciiTheme="majorBidi" w:hAnsiTheme="majorBidi" w:cstheme="majorBidi"/>
          <w:color w:val="000000" w:themeColor="text1"/>
        </w:rPr>
        <w:t xml:space="preserve"> effects through well-defined molecular pathways. Butyrate exerts its anti-inflammatory actions by concurrently activating G protein-coupled receptor 109A (GPR109A) and inhibiting histone </w:t>
      </w:r>
      <w:proofErr w:type="spellStart"/>
      <w:r w:rsidR="00537DAA" w:rsidRPr="00856ECB">
        <w:rPr>
          <w:rFonts w:asciiTheme="majorBidi" w:hAnsiTheme="majorBidi" w:cstheme="majorBidi"/>
          <w:color w:val="000000" w:themeColor="text1"/>
        </w:rPr>
        <w:t>deacetylases</w:t>
      </w:r>
      <w:proofErr w:type="spellEnd"/>
      <w:r w:rsidR="00537DAA" w:rsidRPr="00856ECB">
        <w:rPr>
          <w:rFonts w:asciiTheme="majorBidi" w:hAnsiTheme="majorBidi" w:cstheme="majorBidi"/>
          <w:color w:val="000000" w:themeColor="text1"/>
        </w:rPr>
        <w:t xml:space="preserve"> (HDACs) in human dendritic cells. This dual signaling mechanism promotes the differentiation of Type 1 regulatory T cells (Tr1), which secrete interleukin-10 (IL-10), an anti-inflammatory cytokine essential for immune homeostasis. By engaging both receptor-mediated and epigenetic pathways, short-chain fatty acids like butyrate hold considerable therapeutic potential for managing chronic inflammation</w:t>
      </w:r>
      <w:r w:rsidR="00E87AFA" w:rsidRPr="00856ECB">
        <w:rPr>
          <w:rFonts w:asciiTheme="majorBidi" w:hAnsiTheme="majorBidi" w:cstheme="majorBidi"/>
          <w:color w:val="000000" w:themeColor="text1"/>
        </w:rPr>
        <w:t xml:space="preserve"> </w:t>
      </w:r>
      <w:r w:rsidR="007C46BF" w:rsidRPr="00856ECB">
        <w:rPr>
          <w:rFonts w:asciiTheme="majorBidi" w:hAnsiTheme="majorBidi" w:cstheme="majorBidi"/>
          <w:color w:val="000000" w:themeColor="text1"/>
        </w:rPr>
        <w:fldChar w:fldCharType="begin"/>
      </w:r>
      <w:r w:rsidR="00BF6FEE">
        <w:rPr>
          <w:rFonts w:asciiTheme="majorBidi" w:hAnsiTheme="majorBidi" w:cstheme="majorBidi"/>
          <w:color w:val="000000" w:themeColor="text1"/>
        </w:rPr>
        <w:instrText xml:space="preserve"> ADDIN EN.CITE &lt;EndNote&gt;&lt;Cite&gt;&lt;Author&gt;Kaisar&lt;/Author&gt;&lt;Year&gt;2017&lt;/Year&gt;&lt;RecNum&gt;352&lt;/RecNum&gt;&lt;DisplayText&gt;(49)&lt;/DisplayText&gt;&lt;record&gt;&lt;rec-number&gt;352&lt;/rec-number&gt;&lt;foreign-keys&gt;&lt;key app="EN" db-id="exwvr9fd40te9ner0f4ptrrorttf9svzawdd" timestamp="1752247773"&gt;352&lt;/key&gt;&lt;/foreign-keys&gt;&lt;ref-type name="Journal Article"&gt;17&lt;/ref-type&gt;&lt;contributors&gt;&lt;authors&gt;&lt;author&gt;Kaisar, Maria MM&lt;/author&gt;&lt;author&gt;Pelgrom, Leonard R&lt;/author&gt;&lt;author&gt;Van der Ham, Alwin J&lt;/author&gt;&lt;author&gt;Yazdanbakhsh, Maria&lt;/author&gt;&lt;author&gt;Everts, Bart&lt;/author&gt;&lt;/authors&gt;&lt;/contributors&gt;&lt;titles&gt;&lt;title&gt;Butyrate conditions human dendritic cells to prime type 1 regulatory T cells via both histone deacetylase inhibition and G protein-coupled receptor 109A signaling&lt;/title&gt;&lt;secondary-title&gt;Frontiers in immunology&lt;/secondary-title&gt;&lt;/titles&gt;&lt;periodical&gt;&lt;full-title&gt;Frontiers in immunology&lt;/full-title&gt;&lt;/periodical&gt;&lt;pages&gt;1429&lt;/pages&gt;&lt;volume&gt;8&lt;/volume&gt;&lt;dates&gt;&lt;year&gt;2017&lt;/year&gt;&lt;/dates&gt;&lt;isbn&gt;1664-3224&lt;/isbn&gt;&lt;urls&gt;&lt;/urls&gt;&lt;/record&gt;&lt;/Cite&gt;&lt;/EndNote&gt;</w:instrText>
      </w:r>
      <w:r w:rsidR="007C46BF" w:rsidRPr="00856ECB">
        <w:rPr>
          <w:rFonts w:asciiTheme="majorBidi" w:hAnsiTheme="majorBidi" w:cstheme="majorBidi"/>
          <w:color w:val="000000" w:themeColor="text1"/>
        </w:rPr>
        <w:fldChar w:fldCharType="separate"/>
      </w:r>
      <w:r w:rsidR="00BF6FEE">
        <w:rPr>
          <w:rFonts w:asciiTheme="majorBidi" w:hAnsiTheme="majorBidi" w:cstheme="majorBidi"/>
          <w:noProof/>
          <w:color w:val="000000" w:themeColor="text1"/>
        </w:rPr>
        <w:t>(49)</w:t>
      </w:r>
      <w:r w:rsidR="007C46BF" w:rsidRPr="00856ECB">
        <w:rPr>
          <w:rFonts w:asciiTheme="majorBidi" w:hAnsiTheme="majorBidi" w:cstheme="majorBidi"/>
          <w:color w:val="000000" w:themeColor="text1"/>
        </w:rPr>
        <w:fldChar w:fldCharType="end"/>
      </w:r>
      <w:r w:rsidR="00E87AFA" w:rsidRPr="00856ECB">
        <w:rPr>
          <w:rFonts w:asciiTheme="majorBidi" w:hAnsiTheme="majorBidi" w:cstheme="majorBidi"/>
          <w:color w:val="000000" w:themeColor="text1"/>
        </w:rPr>
        <w:t>.</w:t>
      </w:r>
    </w:p>
    <w:p w14:paraId="3D0293C3" w14:textId="2AA9B06D" w:rsidR="00E87AFA" w:rsidRPr="00856ECB" w:rsidRDefault="00296D79" w:rsidP="009A0C39">
      <w:pPr>
        <w:spacing w:line="276" w:lineRule="auto"/>
        <w:jc w:val="both"/>
        <w:rPr>
          <w:rFonts w:asciiTheme="majorBidi" w:hAnsiTheme="majorBidi" w:cstheme="majorBidi"/>
          <w:color w:val="000000" w:themeColor="text1"/>
        </w:rPr>
      </w:pPr>
      <w:r w:rsidRPr="00856ECB">
        <w:rPr>
          <w:rFonts w:asciiTheme="majorBidi" w:hAnsiTheme="majorBidi" w:cstheme="majorBidi"/>
          <w:b/>
          <w:bCs/>
          <w:color w:val="000000" w:themeColor="text1"/>
        </w:rPr>
        <w:t>Safety:</w:t>
      </w:r>
      <w:r w:rsidRPr="00856ECB">
        <w:rPr>
          <w:rFonts w:asciiTheme="majorBidi" w:hAnsiTheme="majorBidi" w:cstheme="majorBidi"/>
          <w:color w:val="000000" w:themeColor="text1"/>
        </w:rPr>
        <w:t xml:space="preserve"> </w:t>
      </w:r>
      <w:r w:rsidR="00537DAA" w:rsidRPr="00856ECB">
        <w:rPr>
          <w:rFonts w:asciiTheme="majorBidi" w:hAnsiTheme="majorBidi" w:cstheme="majorBidi"/>
          <w:color w:val="000000" w:themeColor="text1"/>
        </w:rPr>
        <w:t xml:space="preserve">Compared to live probiotic organisms, </w:t>
      </w:r>
      <w:proofErr w:type="spellStart"/>
      <w:r w:rsidR="00537DAA" w:rsidRPr="00856ECB">
        <w:rPr>
          <w:rFonts w:asciiTheme="majorBidi" w:hAnsiTheme="majorBidi" w:cstheme="majorBidi"/>
          <w:color w:val="000000" w:themeColor="text1"/>
        </w:rPr>
        <w:t>postbiotics</w:t>
      </w:r>
      <w:proofErr w:type="spellEnd"/>
      <w:r w:rsidR="00537DAA" w:rsidRPr="00856ECB">
        <w:rPr>
          <w:rFonts w:asciiTheme="majorBidi" w:hAnsiTheme="majorBidi" w:cstheme="majorBidi"/>
          <w:color w:val="000000" w:themeColor="text1"/>
        </w:rPr>
        <w:t xml:space="preserve"> offer a safer alternative. Since they are non-viable, </w:t>
      </w:r>
      <w:proofErr w:type="spellStart"/>
      <w:r w:rsidR="00537DAA" w:rsidRPr="00856ECB">
        <w:rPr>
          <w:rFonts w:asciiTheme="majorBidi" w:hAnsiTheme="majorBidi" w:cstheme="majorBidi"/>
          <w:color w:val="000000" w:themeColor="text1"/>
        </w:rPr>
        <w:t>postbiotics</w:t>
      </w:r>
      <w:proofErr w:type="spellEnd"/>
      <w:r w:rsidR="00537DAA" w:rsidRPr="00856ECB">
        <w:rPr>
          <w:rFonts w:asciiTheme="majorBidi" w:hAnsiTheme="majorBidi" w:cstheme="majorBidi"/>
          <w:color w:val="000000" w:themeColor="text1"/>
        </w:rPr>
        <w:t xml:space="preserve"> do not pose risks associated with live microbial administration, such as infections or horizontal gene transfer. Nevertheless, they retain functional bioactivity through molecules like SCFAs, peptides, and cell wall components, which support </w:t>
      </w:r>
      <w:proofErr w:type="spellStart"/>
      <w:r w:rsidR="00537DAA" w:rsidRPr="00856ECB">
        <w:rPr>
          <w:rFonts w:asciiTheme="majorBidi" w:hAnsiTheme="majorBidi" w:cstheme="majorBidi"/>
          <w:color w:val="000000" w:themeColor="text1"/>
        </w:rPr>
        <w:t>neuroimmune</w:t>
      </w:r>
      <w:proofErr w:type="spellEnd"/>
      <w:r w:rsidR="00537DAA" w:rsidRPr="00856ECB">
        <w:rPr>
          <w:rFonts w:asciiTheme="majorBidi" w:hAnsiTheme="majorBidi" w:cstheme="majorBidi"/>
          <w:color w:val="000000" w:themeColor="text1"/>
        </w:rPr>
        <w:t xml:space="preserve"> modulation and gut-brain axis stability. This safety profile makes </w:t>
      </w:r>
      <w:proofErr w:type="spellStart"/>
      <w:r w:rsidR="00537DAA" w:rsidRPr="00856ECB">
        <w:rPr>
          <w:rFonts w:asciiTheme="majorBidi" w:hAnsiTheme="majorBidi" w:cstheme="majorBidi"/>
          <w:color w:val="000000" w:themeColor="text1"/>
        </w:rPr>
        <w:t>postbiotics</w:t>
      </w:r>
      <w:proofErr w:type="spellEnd"/>
      <w:r w:rsidR="00537DAA" w:rsidRPr="00856ECB">
        <w:rPr>
          <w:rFonts w:asciiTheme="majorBidi" w:hAnsiTheme="majorBidi" w:cstheme="majorBidi"/>
          <w:color w:val="000000" w:themeColor="text1"/>
        </w:rPr>
        <w:t xml:space="preserve"> particularly suitable for </w:t>
      </w:r>
      <w:proofErr w:type="spellStart"/>
      <w:r w:rsidR="00537DAA" w:rsidRPr="00856ECB">
        <w:rPr>
          <w:rFonts w:asciiTheme="majorBidi" w:hAnsiTheme="majorBidi" w:cstheme="majorBidi"/>
          <w:color w:val="000000" w:themeColor="text1"/>
        </w:rPr>
        <w:t>immunocompromised</w:t>
      </w:r>
      <w:proofErr w:type="spellEnd"/>
      <w:r w:rsidR="00537DAA" w:rsidRPr="00856ECB">
        <w:rPr>
          <w:rFonts w:asciiTheme="majorBidi" w:hAnsiTheme="majorBidi" w:cstheme="majorBidi"/>
          <w:color w:val="000000" w:themeColor="text1"/>
        </w:rPr>
        <w:t xml:space="preserve"> populations or clinical settings requiring controlled microbial exposure </w:t>
      </w:r>
      <w:r w:rsidR="007C46BF" w:rsidRPr="00856ECB">
        <w:rPr>
          <w:rFonts w:asciiTheme="majorBidi" w:hAnsiTheme="majorBidi" w:cstheme="majorBidi"/>
          <w:color w:val="000000" w:themeColor="text1"/>
        </w:rPr>
        <w:fldChar w:fldCharType="begin"/>
      </w:r>
      <w:r w:rsidR="00BF6FEE">
        <w:rPr>
          <w:rFonts w:asciiTheme="majorBidi" w:hAnsiTheme="majorBidi" w:cstheme="majorBidi"/>
          <w:color w:val="000000" w:themeColor="text1"/>
        </w:rPr>
        <w:instrText xml:space="preserve"> ADDIN EN.CITE &lt;EndNote&gt;&lt;Cite&gt;&lt;Author&gt;Liaqat&lt;/Author&gt;&lt;Year&gt;2022&lt;/Year&gt;&lt;RecNum&gt;212&lt;/RecNum&gt;&lt;DisplayText&gt;(50)&lt;/DisplayText&gt;&lt;record&gt;&lt;rec-number&gt;212&lt;/rec-number&gt;&lt;foreign-keys&gt;&lt;key app="EN" db-id="exwvr9fd40te9ner0f4ptrrorttf9svzawdd" timestamp="1751611035"&gt;212&lt;/key&gt;&lt;/foreign-keys&gt;&lt;ref-type name="Journal Article"&gt;17&lt;/ref-type&gt;&lt;contributors&gt;&lt;authors&gt;&lt;author&gt;Liaqat, Humna&lt;/author&gt;&lt;author&gt;Parveen, Amna&lt;/author&gt;&lt;author&gt;Kim, Sun Yeou&lt;/author&gt;&lt;/authors&gt;&lt;/contributors&gt;&lt;titles&gt;&lt;title&gt;Neuroprotective natural products’ regulatory effects on depression via gut–brain axis targeting tryptophan&lt;/title&gt;&lt;secondary-title&gt;Nutrients&lt;/secondary-title&gt;&lt;/titles&gt;&lt;periodical&gt;&lt;full-title&gt;Nutrients&lt;/full-title&gt;&lt;/periodical&gt;&lt;pages&gt;3270&lt;/pages&gt;&lt;volume&gt;14&lt;/volume&gt;&lt;number&gt;16&lt;/number&gt;&lt;dates&gt;&lt;year&gt;2022&lt;/year&gt;&lt;/dates&gt;&lt;isbn&gt;2072-6643&lt;/isbn&gt;&lt;urls&gt;&lt;/urls&gt;&lt;/record&gt;&lt;/Cite&gt;&lt;/EndNote&gt;</w:instrText>
      </w:r>
      <w:r w:rsidR="007C46BF" w:rsidRPr="00856ECB">
        <w:rPr>
          <w:rFonts w:asciiTheme="majorBidi" w:hAnsiTheme="majorBidi" w:cstheme="majorBidi"/>
          <w:color w:val="000000" w:themeColor="text1"/>
        </w:rPr>
        <w:fldChar w:fldCharType="separate"/>
      </w:r>
      <w:r w:rsidR="00BF6FEE">
        <w:rPr>
          <w:rFonts w:asciiTheme="majorBidi" w:hAnsiTheme="majorBidi" w:cstheme="majorBidi"/>
          <w:noProof/>
          <w:color w:val="000000" w:themeColor="text1"/>
        </w:rPr>
        <w:t>(50)</w:t>
      </w:r>
      <w:r w:rsidR="007C46BF" w:rsidRPr="00856ECB">
        <w:rPr>
          <w:rFonts w:asciiTheme="majorBidi" w:hAnsiTheme="majorBidi" w:cstheme="majorBidi"/>
          <w:color w:val="000000" w:themeColor="text1"/>
        </w:rPr>
        <w:fldChar w:fldCharType="end"/>
      </w:r>
      <w:r w:rsidR="00E87AFA" w:rsidRPr="00856ECB">
        <w:rPr>
          <w:rFonts w:asciiTheme="majorBidi" w:hAnsiTheme="majorBidi" w:cstheme="majorBidi"/>
          <w:color w:val="000000" w:themeColor="text1"/>
        </w:rPr>
        <w:t>.</w:t>
      </w:r>
    </w:p>
    <w:bookmarkEnd w:id="4"/>
    <w:p w14:paraId="2A44BBDD" w14:textId="02DD5F71" w:rsidR="003610E9" w:rsidRPr="00856ECB" w:rsidRDefault="003610E9" w:rsidP="009A0C39">
      <w:pPr>
        <w:pStyle w:val="Heading2"/>
        <w:jc w:val="both"/>
        <w:rPr>
          <w:rFonts w:asciiTheme="majorBidi" w:hAnsiTheme="majorBidi"/>
          <w:sz w:val="24"/>
          <w:szCs w:val="24"/>
        </w:rPr>
      </w:pPr>
      <w:r w:rsidRPr="00856ECB">
        <w:rPr>
          <w:rFonts w:asciiTheme="majorBidi" w:hAnsiTheme="majorBidi"/>
          <w:sz w:val="24"/>
          <w:szCs w:val="24"/>
        </w:rPr>
        <w:lastRenderedPageBreak/>
        <w:t>Biotechnological Opportunities</w:t>
      </w:r>
    </w:p>
    <w:p w14:paraId="29E7D67E" w14:textId="3287BFDF" w:rsidR="003610E9" w:rsidRPr="008B5AB2" w:rsidRDefault="003610E9" w:rsidP="00856ECB">
      <w:pPr>
        <w:pStyle w:val="Heading2"/>
        <w:rPr>
          <w:rFonts w:asciiTheme="majorBidi" w:hAnsiTheme="majorBidi"/>
          <w:i/>
          <w:iCs/>
        </w:rPr>
      </w:pPr>
      <w:bookmarkStart w:id="6" w:name="_Hlk203337650"/>
      <w:r w:rsidRPr="008B5AB2">
        <w:rPr>
          <w:rFonts w:asciiTheme="majorBidi" w:hAnsiTheme="majorBidi"/>
          <w:i/>
          <w:iCs/>
        </w:rPr>
        <w:t xml:space="preserve">Tools for mapping </w:t>
      </w:r>
      <w:proofErr w:type="spellStart"/>
      <w:r w:rsidRPr="008B5AB2">
        <w:rPr>
          <w:rFonts w:asciiTheme="majorBidi" w:hAnsiTheme="majorBidi"/>
          <w:i/>
          <w:iCs/>
        </w:rPr>
        <w:t>microbiota</w:t>
      </w:r>
      <w:proofErr w:type="spellEnd"/>
      <w:r w:rsidRPr="008B5AB2">
        <w:rPr>
          <w:rFonts w:asciiTheme="majorBidi" w:hAnsiTheme="majorBidi"/>
          <w:i/>
          <w:iCs/>
        </w:rPr>
        <w:t>-G</w:t>
      </w:r>
      <w:r w:rsidR="00537DAA" w:rsidRPr="008B5AB2">
        <w:rPr>
          <w:rFonts w:asciiTheme="majorBidi" w:hAnsiTheme="majorBidi"/>
          <w:i/>
          <w:iCs/>
        </w:rPr>
        <w:t xml:space="preserve">ut-Brain </w:t>
      </w:r>
      <w:r w:rsidRPr="008B5AB2">
        <w:rPr>
          <w:rFonts w:asciiTheme="majorBidi" w:hAnsiTheme="majorBidi"/>
          <w:i/>
          <w:iCs/>
        </w:rPr>
        <w:t>A</w:t>
      </w:r>
      <w:r w:rsidR="00537DAA" w:rsidRPr="008B5AB2">
        <w:rPr>
          <w:rFonts w:asciiTheme="majorBidi" w:hAnsiTheme="majorBidi"/>
          <w:i/>
          <w:iCs/>
        </w:rPr>
        <w:t>xis</w:t>
      </w:r>
      <w:r w:rsidRPr="008B5AB2">
        <w:rPr>
          <w:rFonts w:asciiTheme="majorBidi" w:hAnsiTheme="majorBidi"/>
          <w:i/>
          <w:iCs/>
        </w:rPr>
        <w:t xml:space="preserve"> interactions</w:t>
      </w:r>
      <w:bookmarkEnd w:id="6"/>
    </w:p>
    <w:p w14:paraId="4D25B5E5" w14:textId="3FB3035D" w:rsidR="003610E9" w:rsidRPr="00856ECB" w:rsidRDefault="00EE0FB0" w:rsidP="00296D79">
      <w:pPr>
        <w:pStyle w:val="Heading3"/>
        <w:jc w:val="both"/>
        <w:rPr>
          <w:rFonts w:asciiTheme="majorBidi" w:hAnsiTheme="majorBidi"/>
          <w:color w:val="auto"/>
        </w:rPr>
      </w:pPr>
      <w:proofErr w:type="spellStart"/>
      <w:r w:rsidRPr="00856ECB">
        <w:rPr>
          <w:rFonts w:asciiTheme="majorBidi" w:hAnsiTheme="majorBidi"/>
          <w:color w:val="auto"/>
        </w:rPr>
        <w:t>Metagenomics</w:t>
      </w:r>
      <w:proofErr w:type="spellEnd"/>
      <w:r w:rsidR="00296D79" w:rsidRPr="00856ECB">
        <w:rPr>
          <w:rFonts w:asciiTheme="majorBidi" w:hAnsiTheme="majorBidi"/>
          <w:color w:val="auto"/>
        </w:rPr>
        <w:t xml:space="preserve">: </w:t>
      </w:r>
      <w:r w:rsidR="00537DAA" w:rsidRPr="00856ECB">
        <w:rPr>
          <w:rFonts w:asciiTheme="majorBidi" w:hAnsiTheme="majorBidi"/>
          <w:color w:val="auto"/>
        </w:rPr>
        <w:t xml:space="preserve">Advances in </w:t>
      </w:r>
      <w:proofErr w:type="spellStart"/>
      <w:r w:rsidR="00537DAA" w:rsidRPr="00856ECB">
        <w:rPr>
          <w:rFonts w:asciiTheme="majorBidi" w:hAnsiTheme="majorBidi"/>
          <w:color w:val="auto"/>
        </w:rPr>
        <w:t>omics</w:t>
      </w:r>
      <w:proofErr w:type="spellEnd"/>
      <w:r w:rsidR="00537DAA" w:rsidRPr="00856ECB">
        <w:rPr>
          <w:rFonts w:asciiTheme="majorBidi" w:hAnsiTheme="majorBidi"/>
          <w:color w:val="auto"/>
        </w:rPr>
        <w:t xml:space="preserve"> technologies have significantly enhanced our understanding of the </w:t>
      </w:r>
      <w:proofErr w:type="spellStart"/>
      <w:r w:rsidR="00537DAA" w:rsidRPr="00856ECB">
        <w:rPr>
          <w:rFonts w:asciiTheme="majorBidi" w:hAnsiTheme="majorBidi"/>
          <w:color w:val="auto"/>
        </w:rPr>
        <w:t>microbiota</w:t>
      </w:r>
      <w:proofErr w:type="spellEnd"/>
      <w:r w:rsidR="00537DAA" w:rsidRPr="00856ECB">
        <w:rPr>
          <w:rFonts w:asciiTheme="majorBidi" w:hAnsiTheme="majorBidi"/>
          <w:color w:val="auto"/>
        </w:rPr>
        <w:t xml:space="preserve">–gut-brain axis. Among these, </w:t>
      </w:r>
      <w:proofErr w:type="spellStart"/>
      <w:r w:rsidR="00537DAA" w:rsidRPr="00856ECB">
        <w:rPr>
          <w:rFonts w:asciiTheme="majorBidi" w:hAnsiTheme="majorBidi"/>
          <w:color w:val="auto"/>
        </w:rPr>
        <w:t>metagenomics</w:t>
      </w:r>
      <w:proofErr w:type="spellEnd"/>
      <w:r w:rsidR="00537DAA" w:rsidRPr="00856ECB">
        <w:rPr>
          <w:rFonts w:asciiTheme="majorBidi" w:hAnsiTheme="majorBidi"/>
          <w:color w:val="auto"/>
        </w:rPr>
        <w:t xml:space="preserve"> plays a crucial role by allowing comprehensive analysis of entire microbial communities through techniques such as 16S </w:t>
      </w:r>
      <w:proofErr w:type="spellStart"/>
      <w:r w:rsidR="00537DAA" w:rsidRPr="00856ECB">
        <w:rPr>
          <w:rFonts w:asciiTheme="majorBidi" w:hAnsiTheme="majorBidi"/>
          <w:color w:val="auto"/>
        </w:rPr>
        <w:t>r</w:t>
      </w:r>
      <w:r w:rsidR="00FE02E9" w:rsidRPr="00856ECB">
        <w:rPr>
          <w:rFonts w:asciiTheme="majorBidi" w:hAnsiTheme="majorBidi"/>
          <w:color w:val="auto"/>
        </w:rPr>
        <w:t>R</w:t>
      </w:r>
      <w:r w:rsidR="00537DAA" w:rsidRPr="00856ECB">
        <w:rPr>
          <w:rFonts w:asciiTheme="majorBidi" w:hAnsiTheme="majorBidi"/>
          <w:color w:val="auto"/>
        </w:rPr>
        <w:t>NA</w:t>
      </w:r>
      <w:proofErr w:type="spellEnd"/>
      <w:r w:rsidR="00537DAA" w:rsidRPr="00856ECB">
        <w:rPr>
          <w:rFonts w:asciiTheme="majorBidi" w:hAnsiTheme="majorBidi"/>
          <w:color w:val="auto"/>
        </w:rPr>
        <w:t xml:space="preserve"> gene sequencing and whole-genome shotgun sequencing. This approach enables researchers to profile the taxonomic diversity, structural complexity, and functional capabilities of gut </w:t>
      </w:r>
      <w:proofErr w:type="spellStart"/>
      <w:r w:rsidR="00537DAA" w:rsidRPr="00856ECB">
        <w:rPr>
          <w:rFonts w:asciiTheme="majorBidi" w:hAnsiTheme="majorBidi"/>
          <w:color w:val="auto"/>
        </w:rPr>
        <w:t>microbiota</w:t>
      </w:r>
      <w:proofErr w:type="spellEnd"/>
      <w:r w:rsidR="00537DAA" w:rsidRPr="00856ECB">
        <w:rPr>
          <w:rFonts w:asciiTheme="majorBidi" w:hAnsiTheme="majorBidi"/>
          <w:color w:val="auto"/>
        </w:rPr>
        <w:t xml:space="preserve">. </w:t>
      </w:r>
      <w:proofErr w:type="spellStart"/>
      <w:r w:rsidR="00537DAA" w:rsidRPr="00856ECB">
        <w:rPr>
          <w:rFonts w:asciiTheme="majorBidi" w:hAnsiTheme="majorBidi"/>
          <w:color w:val="auto"/>
        </w:rPr>
        <w:t>Metagenomic</w:t>
      </w:r>
      <w:proofErr w:type="spellEnd"/>
      <w:r w:rsidR="00537DAA" w:rsidRPr="00856ECB">
        <w:rPr>
          <w:rFonts w:asciiTheme="majorBidi" w:hAnsiTheme="majorBidi"/>
          <w:color w:val="auto"/>
        </w:rPr>
        <w:t xml:space="preserve"> data have been instrumental in reframing disease models—such as those for inflammatory bowel disease and bacterial </w:t>
      </w:r>
      <w:proofErr w:type="spellStart"/>
      <w:r w:rsidR="00537DAA" w:rsidRPr="00856ECB">
        <w:rPr>
          <w:rFonts w:asciiTheme="majorBidi" w:hAnsiTheme="majorBidi"/>
          <w:color w:val="auto"/>
        </w:rPr>
        <w:t>vaginosis</w:t>
      </w:r>
      <w:proofErr w:type="spellEnd"/>
      <w:r w:rsidR="00537DAA" w:rsidRPr="00856ECB">
        <w:rPr>
          <w:rFonts w:asciiTheme="majorBidi" w:hAnsiTheme="majorBidi"/>
          <w:color w:val="auto"/>
        </w:rPr>
        <w:t xml:space="preserve"> (BV)—as ecological imbalances involving microbial community shifts, rather than single-pathogen etiologies. </w:t>
      </w:r>
      <w:proofErr w:type="spellStart"/>
      <w:r w:rsidR="00537DAA" w:rsidRPr="00856ECB">
        <w:rPr>
          <w:rFonts w:asciiTheme="majorBidi" w:hAnsiTheme="majorBidi"/>
          <w:color w:val="auto"/>
        </w:rPr>
        <w:t>Metagenomics</w:t>
      </w:r>
      <w:proofErr w:type="spellEnd"/>
      <w:r w:rsidR="00537DAA" w:rsidRPr="00856ECB">
        <w:rPr>
          <w:rFonts w:asciiTheme="majorBidi" w:hAnsiTheme="majorBidi"/>
          <w:color w:val="auto"/>
        </w:rPr>
        <w:t xml:space="preserve"> also supports the keystone pathogen hypothesis, which posits that specific low-abundance microbes can disproportionately disrupt community stability and contribute to disease pathogenesis, particularly in oral and gastrointestinal environments. Additionally, it provides insights into microbial communication systems like quorum sensing, aiding the development of targeted antimicrobial and anti-biofilm strategies </w:t>
      </w:r>
      <w:r w:rsidR="002A3647" w:rsidRPr="00856ECB">
        <w:rPr>
          <w:rFonts w:asciiTheme="majorBidi" w:eastAsia="Times New Roman" w:hAnsiTheme="majorBidi"/>
          <w:color w:val="auto"/>
          <w:kern w:val="0"/>
          <w:lang w:eastAsia="en-GB"/>
          <w14:ligatures w14:val="none"/>
        </w:rPr>
        <w:fldChar w:fldCharType="begin"/>
      </w:r>
      <w:r w:rsidR="00BF6FEE">
        <w:rPr>
          <w:rFonts w:asciiTheme="majorBidi" w:eastAsia="Times New Roman" w:hAnsiTheme="majorBidi"/>
          <w:color w:val="auto"/>
          <w:kern w:val="0"/>
          <w:lang w:eastAsia="en-GB"/>
          <w14:ligatures w14:val="none"/>
        </w:rPr>
        <w:instrText xml:space="preserve"> ADDIN EN.CITE &lt;EndNote&gt;&lt;Cite&gt;&lt;Author&gt;Chaudhari&lt;/Author&gt;&lt;Year&gt;2023&lt;/Year&gt;&lt;RecNum&gt;327&lt;/RecNum&gt;&lt;DisplayText&gt;(51)&lt;/DisplayText&gt;&lt;record&gt;&lt;rec-number&gt;327&lt;/rec-number&gt;&lt;foreign-keys&gt;&lt;key app="EN" db-id="exwvr9fd40te9ner0f4ptrrorttf9svzawdd" timestamp="1751912424"&gt;327&lt;/key&gt;&lt;/foreign-keys&gt;&lt;ref-type name="Journal Article"&gt;17&lt;/ref-type&gt;&lt;contributors&gt;&lt;authors&gt;&lt;author&gt;Chaudhari, Hiral G&lt;/author&gt;&lt;author&gt;Prajapati, Shobha&lt;/author&gt;&lt;author&gt;Wardah, Zuhour Hussein&lt;/author&gt;&lt;author&gt;Raol, Gopal&lt;/author&gt;&lt;author&gt;Prajapati, Vimalkumar&lt;/author&gt;&lt;author&gt;Patel, Rajesh&lt;/author&gt;&lt;author&gt;Shati, Ali A&lt;/author&gt;&lt;author&gt;Alfaifi, Mohammad Y&lt;/author&gt;&lt;author&gt;Elbehairi, Serag Eldin I&lt;/author&gt;&lt;author&gt;Sayyed, RZ&lt;/author&gt;&lt;/authors&gt;&lt;/contributors&gt;&lt;titles&gt;&lt;title&gt;Decoding the microbial universe with metagenomics: a brief insight&lt;/title&gt;&lt;secondary-title&gt;Frontiers in Genetics&lt;/secondary-title&gt;&lt;/titles&gt;&lt;periodical&gt;&lt;full-title&gt;Frontiers in Genetics&lt;/full-title&gt;&lt;/periodical&gt;&lt;pages&gt;1119740&lt;/pages&gt;&lt;volume&gt;14&lt;/volume&gt;&lt;dates&gt;&lt;year&gt;2023&lt;/year&gt;&lt;/dates&gt;&lt;isbn&gt;1664-8021&lt;/isbn&gt;&lt;urls&gt;&lt;/urls&gt;&lt;/record&gt;&lt;/Cite&gt;&lt;/EndNote&gt;</w:instrText>
      </w:r>
      <w:r w:rsidR="002A3647" w:rsidRPr="00856ECB">
        <w:rPr>
          <w:rFonts w:asciiTheme="majorBidi" w:eastAsia="Times New Roman" w:hAnsiTheme="majorBidi"/>
          <w:color w:val="auto"/>
          <w:kern w:val="0"/>
          <w:lang w:eastAsia="en-GB"/>
          <w14:ligatures w14:val="none"/>
        </w:rPr>
        <w:fldChar w:fldCharType="separate"/>
      </w:r>
      <w:r w:rsidR="00BF6FEE">
        <w:rPr>
          <w:rFonts w:asciiTheme="majorBidi" w:eastAsia="Times New Roman" w:hAnsiTheme="majorBidi"/>
          <w:noProof/>
          <w:color w:val="auto"/>
          <w:kern w:val="0"/>
          <w:lang w:eastAsia="en-GB"/>
          <w14:ligatures w14:val="none"/>
        </w:rPr>
        <w:t>(51)</w:t>
      </w:r>
      <w:r w:rsidR="002A3647" w:rsidRPr="00856ECB">
        <w:rPr>
          <w:rFonts w:asciiTheme="majorBidi" w:eastAsia="Times New Roman" w:hAnsiTheme="majorBidi"/>
          <w:color w:val="auto"/>
          <w:kern w:val="0"/>
          <w:lang w:eastAsia="en-GB"/>
          <w14:ligatures w14:val="none"/>
        </w:rPr>
        <w:fldChar w:fldCharType="end"/>
      </w:r>
      <w:r w:rsidR="007D1775" w:rsidRPr="00856ECB">
        <w:rPr>
          <w:rFonts w:asciiTheme="majorBidi" w:hAnsiTheme="majorBidi"/>
          <w:color w:val="auto"/>
        </w:rPr>
        <w:t>.</w:t>
      </w:r>
      <w:r w:rsidR="00981C6F" w:rsidRPr="00856ECB">
        <w:rPr>
          <w:rFonts w:asciiTheme="majorBidi" w:hAnsiTheme="majorBidi"/>
          <w:color w:val="auto"/>
        </w:rPr>
        <w:t xml:space="preserve"> </w:t>
      </w:r>
      <w:r w:rsidR="00537DAA" w:rsidRPr="00856ECB">
        <w:rPr>
          <w:rFonts w:asciiTheme="majorBidi" w:hAnsiTheme="majorBidi"/>
          <w:color w:val="auto"/>
        </w:rPr>
        <w:t xml:space="preserve">For example, </w:t>
      </w:r>
      <w:proofErr w:type="spellStart"/>
      <w:r w:rsidR="00537DAA" w:rsidRPr="00856ECB">
        <w:rPr>
          <w:rFonts w:asciiTheme="majorBidi" w:hAnsiTheme="majorBidi"/>
          <w:i/>
          <w:iCs/>
          <w:color w:val="auto"/>
        </w:rPr>
        <w:t>Clostridioides</w:t>
      </w:r>
      <w:proofErr w:type="spellEnd"/>
      <w:r w:rsidR="00537DAA" w:rsidRPr="00856ECB">
        <w:rPr>
          <w:rFonts w:asciiTheme="majorBidi" w:hAnsiTheme="majorBidi"/>
          <w:i/>
          <w:iCs/>
          <w:color w:val="auto"/>
        </w:rPr>
        <w:t xml:space="preserve"> </w:t>
      </w:r>
      <w:proofErr w:type="spellStart"/>
      <w:r w:rsidR="00537DAA" w:rsidRPr="00856ECB">
        <w:rPr>
          <w:rFonts w:asciiTheme="majorBidi" w:hAnsiTheme="majorBidi"/>
          <w:i/>
          <w:iCs/>
          <w:color w:val="auto"/>
        </w:rPr>
        <w:t>difficile</w:t>
      </w:r>
      <w:proofErr w:type="spellEnd"/>
      <w:r w:rsidR="00537DAA" w:rsidRPr="00856ECB">
        <w:rPr>
          <w:rFonts w:asciiTheme="majorBidi" w:hAnsiTheme="majorBidi"/>
          <w:color w:val="auto"/>
        </w:rPr>
        <w:t xml:space="preserve"> infection (CDI) commonly arises from antibiotic-induced </w:t>
      </w:r>
      <w:proofErr w:type="spellStart"/>
      <w:r w:rsidR="00537DAA" w:rsidRPr="00856ECB">
        <w:rPr>
          <w:rFonts w:asciiTheme="majorBidi" w:hAnsiTheme="majorBidi"/>
          <w:color w:val="auto"/>
        </w:rPr>
        <w:t>dysbiosis</w:t>
      </w:r>
      <w:proofErr w:type="spellEnd"/>
      <w:r w:rsidR="00537DAA" w:rsidRPr="00856ECB">
        <w:rPr>
          <w:rFonts w:asciiTheme="majorBidi" w:hAnsiTheme="majorBidi"/>
          <w:color w:val="auto"/>
        </w:rPr>
        <w:t xml:space="preserve">, where the loss of protective microbial diversity permits opportunistic overgrowth of </w:t>
      </w:r>
      <w:r w:rsidR="00537DAA" w:rsidRPr="00856ECB">
        <w:rPr>
          <w:rFonts w:asciiTheme="majorBidi" w:hAnsiTheme="majorBidi"/>
          <w:i/>
          <w:iCs/>
          <w:color w:val="auto"/>
        </w:rPr>
        <w:t xml:space="preserve">C. </w:t>
      </w:r>
      <w:proofErr w:type="spellStart"/>
      <w:r w:rsidR="00537DAA" w:rsidRPr="00856ECB">
        <w:rPr>
          <w:rFonts w:asciiTheme="majorBidi" w:hAnsiTheme="majorBidi"/>
          <w:i/>
          <w:iCs/>
          <w:color w:val="auto"/>
        </w:rPr>
        <w:t>difficile</w:t>
      </w:r>
      <w:proofErr w:type="spellEnd"/>
      <w:r w:rsidR="00537DAA" w:rsidRPr="00856ECB">
        <w:rPr>
          <w:rFonts w:asciiTheme="majorBidi" w:hAnsiTheme="majorBidi"/>
          <w:color w:val="auto"/>
        </w:rPr>
        <w:t xml:space="preserve">. High-throughput sequencing techniques have revealed that CDI patients typically exhibit decreased levels of beneficial bacterial families—such as </w:t>
      </w:r>
      <w:proofErr w:type="spellStart"/>
      <w:r w:rsidR="00537DAA" w:rsidRPr="00856ECB">
        <w:rPr>
          <w:rFonts w:asciiTheme="majorBidi" w:hAnsiTheme="majorBidi"/>
          <w:i/>
          <w:iCs/>
          <w:color w:val="auto"/>
        </w:rPr>
        <w:t>Bacteroidaceae</w:t>
      </w:r>
      <w:proofErr w:type="spellEnd"/>
      <w:r w:rsidR="00537DAA" w:rsidRPr="00856ECB">
        <w:rPr>
          <w:rFonts w:asciiTheme="majorBidi" w:hAnsiTheme="majorBidi"/>
          <w:i/>
          <w:iCs/>
          <w:color w:val="auto"/>
        </w:rPr>
        <w:t xml:space="preserve">, </w:t>
      </w:r>
      <w:proofErr w:type="spellStart"/>
      <w:r w:rsidR="00537DAA" w:rsidRPr="00856ECB">
        <w:rPr>
          <w:rFonts w:asciiTheme="majorBidi" w:hAnsiTheme="majorBidi"/>
          <w:i/>
          <w:iCs/>
          <w:color w:val="auto"/>
        </w:rPr>
        <w:t>Lachnospiraceae</w:t>
      </w:r>
      <w:proofErr w:type="spellEnd"/>
      <w:r w:rsidR="00537DAA" w:rsidRPr="00856ECB">
        <w:rPr>
          <w:rFonts w:asciiTheme="majorBidi" w:hAnsiTheme="majorBidi"/>
          <w:i/>
          <w:iCs/>
          <w:color w:val="auto"/>
        </w:rPr>
        <w:t xml:space="preserve">, </w:t>
      </w:r>
      <w:r w:rsidR="00537DAA" w:rsidRPr="00856ECB">
        <w:rPr>
          <w:rFonts w:asciiTheme="majorBidi" w:hAnsiTheme="majorBidi"/>
          <w:color w:val="auto"/>
        </w:rPr>
        <w:t>and</w:t>
      </w:r>
      <w:r w:rsidR="00537DAA" w:rsidRPr="00856ECB">
        <w:rPr>
          <w:rFonts w:asciiTheme="majorBidi" w:hAnsiTheme="majorBidi"/>
          <w:i/>
          <w:iCs/>
          <w:color w:val="auto"/>
        </w:rPr>
        <w:t xml:space="preserve"> </w:t>
      </w:r>
      <w:proofErr w:type="spellStart"/>
      <w:r w:rsidR="00537DAA" w:rsidRPr="00856ECB">
        <w:rPr>
          <w:rFonts w:asciiTheme="majorBidi" w:hAnsiTheme="majorBidi"/>
          <w:i/>
          <w:iCs/>
          <w:color w:val="auto"/>
        </w:rPr>
        <w:t>Ruminococcaceae</w:t>
      </w:r>
      <w:proofErr w:type="spellEnd"/>
      <w:r w:rsidR="00537DAA" w:rsidRPr="00856ECB">
        <w:rPr>
          <w:rFonts w:asciiTheme="majorBidi" w:hAnsiTheme="majorBidi"/>
          <w:color w:val="auto"/>
        </w:rPr>
        <w:t xml:space="preserve">—and elevated levels of opportunistic pathogens like </w:t>
      </w:r>
      <w:proofErr w:type="spellStart"/>
      <w:r w:rsidR="00537DAA" w:rsidRPr="00856ECB">
        <w:rPr>
          <w:rFonts w:asciiTheme="majorBidi" w:hAnsiTheme="majorBidi"/>
          <w:i/>
          <w:iCs/>
          <w:color w:val="auto"/>
        </w:rPr>
        <w:t>Enterobacteriaceae</w:t>
      </w:r>
      <w:proofErr w:type="spellEnd"/>
      <w:r w:rsidR="00537DAA" w:rsidRPr="00856ECB">
        <w:rPr>
          <w:rFonts w:asciiTheme="majorBidi" w:hAnsiTheme="majorBidi"/>
          <w:color w:val="auto"/>
        </w:rPr>
        <w:t xml:space="preserve">. Consequently, </w:t>
      </w:r>
      <w:proofErr w:type="spellStart"/>
      <w:r w:rsidR="00537DAA" w:rsidRPr="00856ECB">
        <w:rPr>
          <w:rFonts w:asciiTheme="majorBidi" w:hAnsiTheme="majorBidi"/>
          <w:color w:val="auto"/>
        </w:rPr>
        <w:t>metagenomic</w:t>
      </w:r>
      <w:proofErr w:type="spellEnd"/>
      <w:r w:rsidR="00537DAA" w:rsidRPr="00856ECB">
        <w:rPr>
          <w:rFonts w:asciiTheme="majorBidi" w:hAnsiTheme="majorBidi"/>
          <w:color w:val="auto"/>
        </w:rPr>
        <w:t xml:space="preserve"> tools have become essential for understanding CDI pathogenesis and guiding </w:t>
      </w:r>
      <w:proofErr w:type="spellStart"/>
      <w:r w:rsidR="00537DAA" w:rsidRPr="00856ECB">
        <w:rPr>
          <w:rFonts w:asciiTheme="majorBidi" w:hAnsiTheme="majorBidi"/>
          <w:color w:val="auto"/>
        </w:rPr>
        <w:t>microbiota</w:t>
      </w:r>
      <w:proofErr w:type="spellEnd"/>
      <w:r w:rsidR="00537DAA" w:rsidRPr="00856ECB">
        <w:rPr>
          <w:rFonts w:asciiTheme="majorBidi" w:hAnsiTheme="majorBidi"/>
          <w:color w:val="auto"/>
        </w:rPr>
        <w:t>-based therapeutic interventions</w:t>
      </w:r>
      <w:r w:rsidRPr="00856ECB">
        <w:rPr>
          <w:rFonts w:asciiTheme="majorBidi" w:hAnsiTheme="majorBidi"/>
          <w:color w:val="auto"/>
        </w:rPr>
        <w:t xml:space="preserve"> </w:t>
      </w:r>
      <w:r w:rsidR="00CA0C95" w:rsidRPr="00856ECB">
        <w:rPr>
          <w:rFonts w:asciiTheme="majorBidi" w:hAnsiTheme="majorBidi"/>
          <w:color w:val="auto"/>
        </w:rPr>
        <w:fldChar w:fldCharType="begin"/>
      </w:r>
      <w:r w:rsidR="00BF6FEE">
        <w:rPr>
          <w:rFonts w:asciiTheme="majorBidi" w:hAnsiTheme="majorBidi"/>
          <w:color w:val="auto"/>
        </w:rPr>
        <w:instrText xml:space="preserve"> ADDIN EN.CITE &lt;EndNote&gt;&lt;Cite&gt;&lt;Author&gt;Wang&lt;/Author&gt;&lt;Year&gt;2025&lt;/Year&gt;&lt;RecNum&gt;328&lt;/RecNum&gt;&lt;DisplayText&gt;(52)&lt;/DisplayText&gt;&lt;record&gt;&lt;rec-number&gt;328&lt;/rec-number&gt;&lt;foreign-keys&gt;&lt;key app="EN" db-id="exwvr9fd40te9ner0f4ptrrorttf9svzawdd" timestamp="1751912622"&gt;328&lt;/key&gt;&lt;/foreign-keys&gt;&lt;ref-type name="Journal Article"&gt;17&lt;/ref-type&gt;&lt;contributors&gt;&lt;authors&gt;&lt;author&gt;Wang, Lamei&lt;/author&gt;&lt;author&gt;Chen, Xinhua&lt;/author&gt;&lt;author&gt;Pollock, Nira R&lt;/author&gt;&lt;author&gt;Villafuerte Gálvez, Javier A&lt;/author&gt;&lt;author&gt;Alonso, Carolyn D&lt;/author&gt;&lt;author&gt;Wang, Dangdang&lt;/author&gt;&lt;author&gt;Daugherty, Kaitlyn&lt;/author&gt;&lt;author&gt;Xu, Hua&lt;/author&gt;&lt;author&gt;Yao, Junhu&lt;/author&gt;&lt;author&gt;Chen, Yulin&lt;/author&gt;&lt;/authors&gt;&lt;/contributors&gt;&lt;titles&gt;&lt;title&gt;Metagenomic analysis reveals distinct patterns of gut microbiota features with diversified functions in C. difficile infection (CDI), asymptomatic carriage and non-CDI diarrhea&lt;/title&gt;&lt;secondary-title&gt;Gut Microbes&lt;/secondary-title&gt;&lt;/titles&gt;&lt;periodical&gt;&lt;full-title&gt;Gut microbes&lt;/full-title&gt;&lt;/periodical&gt;&lt;pages&gt;2505269&lt;/pages&gt;&lt;volume&gt;17&lt;/volume&gt;&lt;number&gt;1&lt;/number&gt;&lt;dates&gt;&lt;year&gt;2025&lt;/year&gt;&lt;/dates&gt;&lt;isbn&gt;1949-0976&lt;/isbn&gt;&lt;urls&gt;&lt;/urls&gt;&lt;/record&gt;&lt;/Cite&gt;&lt;/EndNote&gt;</w:instrText>
      </w:r>
      <w:r w:rsidR="00CA0C95" w:rsidRPr="00856ECB">
        <w:rPr>
          <w:rFonts w:asciiTheme="majorBidi" w:hAnsiTheme="majorBidi"/>
          <w:color w:val="auto"/>
        </w:rPr>
        <w:fldChar w:fldCharType="separate"/>
      </w:r>
      <w:r w:rsidR="00BF6FEE">
        <w:rPr>
          <w:rFonts w:asciiTheme="majorBidi" w:hAnsiTheme="majorBidi"/>
          <w:noProof/>
          <w:color w:val="auto"/>
        </w:rPr>
        <w:t>(52)</w:t>
      </w:r>
      <w:r w:rsidR="00CA0C95" w:rsidRPr="00856ECB">
        <w:rPr>
          <w:rFonts w:asciiTheme="majorBidi" w:hAnsiTheme="majorBidi"/>
          <w:color w:val="auto"/>
        </w:rPr>
        <w:fldChar w:fldCharType="end"/>
      </w:r>
      <w:r w:rsidR="007D1775" w:rsidRPr="00856ECB">
        <w:rPr>
          <w:rFonts w:asciiTheme="majorBidi" w:hAnsiTheme="majorBidi"/>
          <w:color w:val="auto"/>
        </w:rPr>
        <w:t>.</w:t>
      </w:r>
      <w:r w:rsidR="00E07CD1" w:rsidRPr="00856ECB">
        <w:rPr>
          <w:rFonts w:asciiTheme="majorBidi" w:hAnsiTheme="majorBidi"/>
          <w:color w:val="auto"/>
        </w:rPr>
        <w:t xml:space="preserve"> </w:t>
      </w:r>
      <w:r w:rsidR="00537DAA" w:rsidRPr="00856ECB">
        <w:rPr>
          <w:rFonts w:asciiTheme="majorBidi" w:hAnsiTheme="majorBidi"/>
          <w:color w:val="auto"/>
        </w:rPr>
        <w:t xml:space="preserve">Moreover, </w:t>
      </w:r>
      <w:proofErr w:type="spellStart"/>
      <w:r w:rsidR="00537DAA" w:rsidRPr="00856ECB">
        <w:rPr>
          <w:rFonts w:asciiTheme="majorBidi" w:hAnsiTheme="majorBidi"/>
          <w:color w:val="auto"/>
        </w:rPr>
        <w:t>metagenomics</w:t>
      </w:r>
      <w:proofErr w:type="spellEnd"/>
      <w:r w:rsidR="00537DAA" w:rsidRPr="00856ECB">
        <w:rPr>
          <w:rFonts w:asciiTheme="majorBidi" w:hAnsiTheme="majorBidi"/>
          <w:color w:val="auto"/>
        </w:rPr>
        <w:t xml:space="preserve"> can detect virulence factors and antibiotic resistance genes that are often missed by conventional diagnostics. This capability is particularly valuable for precision medicine, as it enables the integration of </w:t>
      </w:r>
      <w:proofErr w:type="spellStart"/>
      <w:r w:rsidR="00537DAA" w:rsidRPr="00856ECB">
        <w:rPr>
          <w:rFonts w:asciiTheme="majorBidi" w:hAnsiTheme="majorBidi"/>
          <w:color w:val="auto"/>
        </w:rPr>
        <w:t>microbiome</w:t>
      </w:r>
      <w:proofErr w:type="spellEnd"/>
      <w:r w:rsidR="00537DAA" w:rsidRPr="00856ECB">
        <w:rPr>
          <w:rFonts w:asciiTheme="majorBidi" w:hAnsiTheme="majorBidi"/>
          <w:color w:val="auto"/>
        </w:rPr>
        <w:t xml:space="preserve"> profiles into drug development pipelines and regulatory frameworks. </w:t>
      </w:r>
      <w:r w:rsidR="00786294" w:rsidRPr="00856ECB">
        <w:rPr>
          <w:rFonts w:asciiTheme="majorBidi" w:hAnsiTheme="majorBidi"/>
          <w:color w:val="auto"/>
        </w:rPr>
        <w:t>Accordingly</w:t>
      </w:r>
      <w:r w:rsidR="00537DAA" w:rsidRPr="00856ECB">
        <w:rPr>
          <w:rFonts w:asciiTheme="majorBidi" w:hAnsiTheme="majorBidi"/>
          <w:color w:val="auto"/>
        </w:rPr>
        <w:t xml:space="preserve">, it may help prevent or mitigate complications arising from </w:t>
      </w:r>
      <w:proofErr w:type="spellStart"/>
      <w:r w:rsidR="00537DAA" w:rsidRPr="00856ECB">
        <w:rPr>
          <w:rFonts w:asciiTheme="majorBidi" w:hAnsiTheme="majorBidi"/>
          <w:color w:val="auto"/>
        </w:rPr>
        <w:t>dysbiosis</w:t>
      </w:r>
      <w:proofErr w:type="spellEnd"/>
      <w:r w:rsidR="00537DAA" w:rsidRPr="00856ECB">
        <w:rPr>
          <w:rFonts w:asciiTheme="majorBidi" w:hAnsiTheme="majorBidi"/>
          <w:color w:val="auto"/>
        </w:rPr>
        <w:t xml:space="preserve"> </w:t>
      </w:r>
      <w:r w:rsidR="00CA0C95" w:rsidRPr="00856ECB">
        <w:rPr>
          <w:rFonts w:asciiTheme="majorBidi" w:hAnsiTheme="majorBidi"/>
          <w:color w:val="auto"/>
        </w:rPr>
        <w:fldChar w:fldCharType="begin"/>
      </w:r>
      <w:r w:rsidR="00BF6FEE">
        <w:rPr>
          <w:rFonts w:asciiTheme="majorBidi" w:hAnsiTheme="majorBidi"/>
          <w:color w:val="auto"/>
        </w:rPr>
        <w:instrText xml:space="preserve"> ADDIN EN.CITE &lt;EndNote&gt;&lt;Cite&gt;&lt;Author&gt;Mulcahy-O’Grady&lt;/Author&gt;&lt;Year&gt;2016&lt;/Year&gt;&lt;RecNum&gt;329&lt;/RecNum&gt;&lt;DisplayText&gt;(53)&lt;/DisplayText&gt;&lt;record&gt;&lt;rec-number&gt;329&lt;/rec-number&gt;&lt;foreign-keys&gt;&lt;key app="EN" db-id="exwvr9fd40te9ner0f4ptrrorttf9svzawdd" timestamp="1751912685"&gt;329&lt;/key&gt;&lt;/foreign-keys&gt;&lt;ref-type name="Journal Article"&gt;17&lt;/ref-type&gt;&lt;contributors&gt;&lt;authors&gt;&lt;author&gt;Mulcahy-O’Grady, Heidi&lt;/author&gt;&lt;author&gt;Workentine, Matthew L&lt;/author&gt;&lt;/authors&gt;&lt;/contributors&gt;&lt;titles&gt;&lt;title&gt;The challenge and potential of metagenomics in the clinic&lt;/title&gt;&lt;secondary-title&gt;Frontiers in immunology&lt;/secondary-title&gt;&lt;/titles&gt;&lt;periodical&gt;&lt;full-title&gt;Frontiers in immunology&lt;/full-title&gt;&lt;/periodical&gt;&lt;pages&gt;29&lt;/pages&gt;&lt;volume&gt;7&lt;/volume&gt;&lt;dates&gt;&lt;year&gt;2016&lt;/year&gt;&lt;/dates&gt;&lt;isbn&gt;1664-3224&lt;/isbn&gt;&lt;urls&gt;&lt;/urls&gt;&lt;/record&gt;&lt;/Cite&gt;&lt;/EndNote&gt;</w:instrText>
      </w:r>
      <w:r w:rsidR="00CA0C95" w:rsidRPr="00856ECB">
        <w:rPr>
          <w:rFonts w:asciiTheme="majorBidi" w:hAnsiTheme="majorBidi"/>
          <w:color w:val="auto"/>
        </w:rPr>
        <w:fldChar w:fldCharType="separate"/>
      </w:r>
      <w:r w:rsidR="00BF6FEE">
        <w:rPr>
          <w:rFonts w:asciiTheme="majorBidi" w:hAnsiTheme="majorBidi"/>
          <w:noProof/>
          <w:color w:val="auto"/>
        </w:rPr>
        <w:t>(53)</w:t>
      </w:r>
      <w:r w:rsidR="00CA0C95" w:rsidRPr="00856ECB">
        <w:rPr>
          <w:rFonts w:asciiTheme="majorBidi" w:hAnsiTheme="majorBidi"/>
          <w:color w:val="auto"/>
        </w:rPr>
        <w:fldChar w:fldCharType="end"/>
      </w:r>
      <w:r w:rsidR="00427D09" w:rsidRPr="00856ECB">
        <w:rPr>
          <w:rFonts w:asciiTheme="majorBidi" w:hAnsiTheme="majorBidi"/>
          <w:color w:val="auto"/>
        </w:rPr>
        <w:t>.</w:t>
      </w:r>
    </w:p>
    <w:p w14:paraId="0AD3E00B" w14:textId="6E69497D" w:rsidR="003610E9" w:rsidRPr="00856ECB" w:rsidRDefault="005146B7" w:rsidP="00296D79">
      <w:pPr>
        <w:pStyle w:val="NormalWeb"/>
        <w:jc w:val="both"/>
        <w:rPr>
          <w:rFonts w:asciiTheme="majorBidi" w:hAnsiTheme="majorBidi" w:cstheme="majorBidi"/>
        </w:rPr>
      </w:pPr>
      <w:r w:rsidRPr="00856ECB">
        <w:rPr>
          <w:rFonts w:asciiTheme="majorBidi" w:hAnsiTheme="majorBidi" w:cstheme="majorBidi"/>
          <w:b/>
          <w:bCs/>
        </w:rPr>
        <w:t>Metabolomics</w:t>
      </w:r>
      <w:r w:rsidR="00296D79" w:rsidRPr="00856ECB">
        <w:rPr>
          <w:rFonts w:asciiTheme="majorBidi" w:hAnsiTheme="majorBidi" w:cstheme="majorBidi"/>
        </w:rPr>
        <w:t>:</w:t>
      </w:r>
      <w:r w:rsidR="00856ECB">
        <w:rPr>
          <w:rFonts w:asciiTheme="majorBidi" w:hAnsiTheme="majorBidi" w:cstheme="majorBidi"/>
        </w:rPr>
        <w:t xml:space="preserve"> m</w:t>
      </w:r>
      <w:r w:rsidR="00537DAA" w:rsidRPr="00856ECB">
        <w:rPr>
          <w:rFonts w:asciiTheme="majorBidi" w:hAnsiTheme="majorBidi" w:cstheme="majorBidi"/>
        </w:rPr>
        <w:t>etabolomics is a powerful analytical approach that investigates small molecules and metabolites produced during metabolic processes. It provides real-time insights into the functional dynamics of host-</w:t>
      </w:r>
      <w:proofErr w:type="spellStart"/>
      <w:r w:rsidR="00537DAA" w:rsidRPr="00856ECB">
        <w:rPr>
          <w:rFonts w:asciiTheme="majorBidi" w:hAnsiTheme="majorBidi" w:cstheme="majorBidi"/>
        </w:rPr>
        <w:t>microbiota</w:t>
      </w:r>
      <w:proofErr w:type="spellEnd"/>
      <w:r w:rsidR="00537DAA" w:rsidRPr="00856ECB">
        <w:rPr>
          <w:rFonts w:asciiTheme="majorBidi" w:hAnsiTheme="majorBidi" w:cstheme="majorBidi"/>
        </w:rPr>
        <w:t xml:space="preserve"> interactions and the broader metabolic landscape, offering valuable biomarkers for both health monitoring and disease diagnosis. Common analytical techniques used in metabolomics include nuclear magnetic resonance (NMR) spectroscopy, which provides detailed structural information, and mass spectrometry (MS) coupled with chromatography, which enables sensitive and precise metabolite identification. By profiling metabolic signatures, researchers can link specific metabolites to complex conditions such as obesity, type 2 diabetes, and gastrointestinal disorders, thus facilitating the development of targeted </w:t>
      </w:r>
      <w:proofErr w:type="spellStart"/>
      <w:r w:rsidR="00537DAA" w:rsidRPr="00856ECB">
        <w:rPr>
          <w:rFonts w:asciiTheme="majorBidi" w:hAnsiTheme="majorBidi" w:cstheme="majorBidi"/>
        </w:rPr>
        <w:t>microbiome</w:t>
      </w:r>
      <w:proofErr w:type="spellEnd"/>
      <w:r w:rsidR="00537DAA" w:rsidRPr="00856ECB">
        <w:rPr>
          <w:rFonts w:asciiTheme="majorBidi" w:hAnsiTheme="majorBidi" w:cstheme="majorBidi"/>
        </w:rPr>
        <w:t>-informed therapeutic interventions</w:t>
      </w:r>
      <w:r w:rsidR="00CA0C95" w:rsidRPr="00856ECB">
        <w:rPr>
          <w:rFonts w:asciiTheme="majorBidi" w:hAnsiTheme="majorBidi" w:cstheme="majorBidi"/>
        </w:rPr>
        <w:fldChar w:fldCharType="begin"/>
      </w:r>
      <w:r w:rsidR="00BF6FEE">
        <w:rPr>
          <w:rFonts w:asciiTheme="majorBidi" w:hAnsiTheme="majorBidi" w:cstheme="majorBidi"/>
        </w:rPr>
        <w:instrText xml:space="preserve"> ADDIN EN.CITE &lt;EndNote&gt;&lt;Cite&gt;&lt;Author&gt;Vernocchi&lt;/Author&gt;&lt;Year&gt;2016&lt;/Year&gt;&lt;RecNum&gt;330&lt;/RecNum&gt;&lt;DisplayText&gt;(54)&lt;/DisplayText&gt;&lt;record&gt;&lt;rec-number&gt;330&lt;/rec-number&gt;&lt;foreign-keys&gt;&lt;key app="EN" db-id="exwvr9fd40te9ner0f4ptrrorttf9svzawdd" timestamp="1751912990"&gt;330&lt;/key&gt;&lt;/foreign-keys&gt;&lt;ref-type name="Journal Article"&gt;17&lt;/ref-type&gt;&lt;contributors&gt;&lt;authors&gt;&lt;author&gt;Vernocchi, Pamela&lt;/author&gt;&lt;author&gt;Del Chierico, Federica&lt;/author&gt;&lt;author&gt;Putignani, Lorenza&lt;/author&gt;&lt;/authors&gt;&lt;/contributors&gt;&lt;titles&gt;&lt;title&gt;Gut microbiota profiling: metabolomics based approach to unravel compounds affecting human health&lt;/title&gt;&lt;secondary-title&gt;Frontiers in microbiology&lt;/secondary-title&gt;&lt;/titles&gt;&lt;periodical&gt;&lt;full-title&gt;Frontiers in microbiology&lt;/full-title&gt;&lt;/periodical&gt;&lt;pages&gt;1144&lt;/pages&gt;&lt;volume&gt;7&lt;/volume&gt;&lt;dates&gt;&lt;year&gt;2016&lt;/year&gt;&lt;/dates&gt;&lt;isbn&gt;1664-302X&lt;/isbn&gt;&lt;urls&gt;&lt;/urls&gt;&lt;/record&gt;&lt;/Cite&gt;&lt;/EndNote&gt;</w:instrText>
      </w:r>
      <w:r w:rsidR="00CA0C95" w:rsidRPr="00856ECB">
        <w:rPr>
          <w:rFonts w:asciiTheme="majorBidi" w:hAnsiTheme="majorBidi" w:cstheme="majorBidi"/>
        </w:rPr>
        <w:fldChar w:fldCharType="separate"/>
      </w:r>
      <w:r w:rsidR="00BF6FEE">
        <w:rPr>
          <w:rFonts w:asciiTheme="majorBidi" w:hAnsiTheme="majorBidi" w:cstheme="majorBidi"/>
          <w:noProof/>
        </w:rPr>
        <w:t>(54)</w:t>
      </w:r>
      <w:r w:rsidR="00CA0C95" w:rsidRPr="00856ECB">
        <w:rPr>
          <w:rFonts w:asciiTheme="majorBidi" w:hAnsiTheme="majorBidi" w:cstheme="majorBidi"/>
        </w:rPr>
        <w:fldChar w:fldCharType="end"/>
      </w:r>
      <w:r w:rsidR="007D1775" w:rsidRPr="00856ECB">
        <w:rPr>
          <w:rFonts w:asciiTheme="majorBidi" w:hAnsiTheme="majorBidi" w:cstheme="majorBidi"/>
        </w:rPr>
        <w:t>.</w:t>
      </w:r>
    </w:p>
    <w:p w14:paraId="6A52DBBC" w14:textId="3DC4D5BC" w:rsidR="003610E9" w:rsidRPr="00856ECB" w:rsidRDefault="005146B7" w:rsidP="009A0C39">
      <w:pPr>
        <w:autoSpaceDE w:val="0"/>
        <w:autoSpaceDN w:val="0"/>
        <w:adjustRightInd w:val="0"/>
        <w:jc w:val="both"/>
        <w:rPr>
          <w:rFonts w:asciiTheme="majorBidi" w:hAnsiTheme="majorBidi" w:cstheme="majorBidi"/>
        </w:rPr>
      </w:pPr>
      <w:r w:rsidRPr="00856ECB">
        <w:rPr>
          <w:rFonts w:asciiTheme="majorBidi" w:hAnsiTheme="majorBidi" w:cstheme="majorBidi"/>
          <w:b/>
          <w:bCs/>
        </w:rPr>
        <w:t>Multi-</w:t>
      </w:r>
      <w:proofErr w:type="spellStart"/>
      <w:r w:rsidRPr="00856ECB">
        <w:rPr>
          <w:rFonts w:asciiTheme="majorBidi" w:hAnsiTheme="majorBidi" w:cstheme="majorBidi"/>
          <w:b/>
          <w:bCs/>
        </w:rPr>
        <w:t>omics</w:t>
      </w:r>
      <w:proofErr w:type="spellEnd"/>
      <w:r w:rsidR="00537DAA" w:rsidRPr="00856ECB">
        <w:rPr>
          <w:rFonts w:asciiTheme="majorBidi" w:hAnsiTheme="majorBidi" w:cstheme="majorBidi"/>
        </w:rPr>
        <w:t xml:space="preserve"> approaches, which integrate data from </w:t>
      </w:r>
      <w:proofErr w:type="spellStart"/>
      <w:r w:rsidR="00537DAA" w:rsidRPr="00856ECB">
        <w:rPr>
          <w:rFonts w:asciiTheme="majorBidi" w:hAnsiTheme="majorBidi" w:cstheme="majorBidi"/>
        </w:rPr>
        <w:t>metagenomics</w:t>
      </w:r>
      <w:proofErr w:type="spellEnd"/>
      <w:r w:rsidR="00537DAA" w:rsidRPr="00856ECB">
        <w:rPr>
          <w:rFonts w:asciiTheme="majorBidi" w:hAnsiTheme="majorBidi" w:cstheme="majorBidi"/>
        </w:rPr>
        <w:t>, meta</w:t>
      </w:r>
      <w:r w:rsidR="00921BD5" w:rsidRPr="00856ECB">
        <w:rPr>
          <w:rFonts w:asciiTheme="majorBidi" w:hAnsiTheme="majorBidi" w:cstheme="majorBidi"/>
        </w:rPr>
        <w:t>-</w:t>
      </w:r>
      <w:proofErr w:type="spellStart"/>
      <w:r w:rsidR="00537DAA" w:rsidRPr="00856ECB">
        <w:rPr>
          <w:rFonts w:asciiTheme="majorBidi" w:hAnsiTheme="majorBidi" w:cstheme="majorBidi"/>
        </w:rPr>
        <w:t>transcriptomics</w:t>
      </w:r>
      <w:proofErr w:type="spellEnd"/>
      <w:r w:rsidR="00537DAA" w:rsidRPr="00856ECB">
        <w:rPr>
          <w:rFonts w:asciiTheme="majorBidi" w:hAnsiTheme="majorBidi" w:cstheme="majorBidi"/>
        </w:rPr>
        <w:t xml:space="preserve">, metabolomics, and </w:t>
      </w:r>
      <w:proofErr w:type="spellStart"/>
      <w:r w:rsidR="00537DAA" w:rsidRPr="00856ECB">
        <w:rPr>
          <w:rFonts w:asciiTheme="majorBidi" w:hAnsiTheme="majorBidi" w:cstheme="majorBidi"/>
        </w:rPr>
        <w:t>glycomics</w:t>
      </w:r>
      <w:proofErr w:type="spellEnd"/>
      <w:r w:rsidR="00537DAA" w:rsidRPr="00856ECB">
        <w:rPr>
          <w:rFonts w:asciiTheme="majorBidi" w:hAnsiTheme="majorBidi" w:cstheme="majorBidi"/>
        </w:rPr>
        <w:t xml:space="preserve">, provide a comprehensive view of microbial functions and interactions within the host. These approaches enable the discovery of diagnostic biomarkers and therapeutic targets, supporting the advancement of precision medicine. Hybrid sequencing technologies, combining short- and long-read platforms, further enhance taxonomic resolution and genome assembly accuracy. Short reads offer high-throughput profiling, while long reads are essential for resolving repetitive or complex genomic regions. The integration of patient metadata—such as clinical history and lifestyle factors—further refines the interpretability and </w:t>
      </w:r>
      <w:r w:rsidR="00537DAA" w:rsidRPr="00856ECB">
        <w:rPr>
          <w:rFonts w:asciiTheme="majorBidi" w:hAnsiTheme="majorBidi" w:cstheme="majorBidi"/>
        </w:rPr>
        <w:lastRenderedPageBreak/>
        <w:t xml:space="preserve">relevance of </w:t>
      </w:r>
      <w:proofErr w:type="spellStart"/>
      <w:r w:rsidR="00537DAA" w:rsidRPr="00856ECB">
        <w:rPr>
          <w:rFonts w:asciiTheme="majorBidi" w:hAnsiTheme="majorBidi" w:cstheme="majorBidi"/>
        </w:rPr>
        <w:t>microbiome</w:t>
      </w:r>
      <w:proofErr w:type="spellEnd"/>
      <w:r w:rsidR="00537DAA" w:rsidRPr="00856ECB">
        <w:rPr>
          <w:rFonts w:asciiTheme="majorBidi" w:hAnsiTheme="majorBidi" w:cstheme="majorBidi"/>
        </w:rPr>
        <w:t xml:space="preserve"> studies.</w:t>
      </w:r>
      <w:r w:rsidR="007D77F9" w:rsidRPr="00856ECB">
        <w:rPr>
          <w:rFonts w:asciiTheme="majorBidi" w:hAnsiTheme="majorBidi" w:cstheme="majorBidi"/>
        </w:rPr>
        <w:t xml:space="preserve"> </w:t>
      </w:r>
      <w:r w:rsidR="00537DAA" w:rsidRPr="00856ECB">
        <w:rPr>
          <w:rFonts w:asciiTheme="majorBidi" w:hAnsiTheme="majorBidi" w:cstheme="majorBidi"/>
        </w:rPr>
        <w:t>Bioinformatics tools such as QIIME2</w:t>
      </w:r>
      <w:r w:rsidR="004D7383" w:rsidRPr="00856ECB">
        <w:rPr>
          <w:rStyle w:val="FootnoteReference"/>
          <w:rFonts w:asciiTheme="majorBidi" w:hAnsiTheme="majorBidi" w:cstheme="majorBidi"/>
        </w:rPr>
        <w:footnoteReference w:id="5"/>
      </w:r>
      <w:r w:rsidR="00537DAA" w:rsidRPr="00856ECB">
        <w:rPr>
          <w:rFonts w:asciiTheme="majorBidi" w:hAnsiTheme="majorBidi" w:cstheme="majorBidi"/>
        </w:rPr>
        <w:t xml:space="preserve"> play</w:t>
      </w:r>
      <w:r w:rsidR="00786294" w:rsidRPr="00856ECB">
        <w:rPr>
          <w:rFonts w:asciiTheme="majorBidi" w:hAnsiTheme="majorBidi" w:cstheme="majorBidi"/>
        </w:rPr>
        <w:t>s</w:t>
      </w:r>
      <w:r w:rsidR="00537DAA" w:rsidRPr="00856ECB">
        <w:rPr>
          <w:rFonts w:asciiTheme="majorBidi" w:hAnsiTheme="majorBidi" w:cstheme="majorBidi"/>
        </w:rPr>
        <w:t xml:space="preserve"> a critical role in analyzing microbial community structure, function, and </w:t>
      </w:r>
      <w:proofErr w:type="spellStart"/>
      <w:r w:rsidR="00537DAA" w:rsidRPr="00856ECB">
        <w:rPr>
          <w:rFonts w:asciiTheme="majorBidi" w:hAnsiTheme="majorBidi" w:cstheme="majorBidi"/>
        </w:rPr>
        <w:t>metabolomic</w:t>
      </w:r>
      <w:proofErr w:type="spellEnd"/>
      <w:r w:rsidR="00537DAA" w:rsidRPr="00856ECB">
        <w:rPr>
          <w:rFonts w:asciiTheme="majorBidi" w:hAnsiTheme="majorBidi" w:cstheme="majorBidi"/>
        </w:rPr>
        <w:t xml:space="preserve"> profiles. Accurate microbial identification relies on high-quality reference databases such as NCBI’s NT</w:t>
      </w:r>
      <w:r w:rsidR="00537DAA" w:rsidRPr="00856ECB">
        <w:rPr>
          <w:rStyle w:val="FootnoteReference"/>
          <w:rFonts w:asciiTheme="majorBidi" w:hAnsiTheme="majorBidi" w:cstheme="majorBidi"/>
        </w:rPr>
        <w:footnoteReference w:id="6"/>
      </w:r>
      <w:r w:rsidR="00537DAA" w:rsidRPr="00856ECB">
        <w:rPr>
          <w:rFonts w:asciiTheme="majorBidi" w:hAnsiTheme="majorBidi" w:cstheme="majorBidi"/>
        </w:rPr>
        <w:t xml:space="preserve"> and </w:t>
      </w:r>
      <w:proofErr w:type="spellStart"/>
      <w:r w:rsidR="00537DAA" w:rsidRPr="00856ECB">
        <w:rPr>
          <w:rFonts w:asciiTheme="majorBidi" w:hAnsiTheme="majorBidi" w:cstheme="majorBidi"/>
        </w:rPr>
        <w:t>Greengenes</w:t>
      </w:r>
      <w:proofErr w:type="spellEnd"/>
      <w:r w:rsidR="007D77F9" w:rsidRPr="00856ECB">
        <w:rPr>
          <w:rStyle w:val="FootnoteReference"/>
          <w:rFonts w:asciiTheme="majorBidi" w:hAnsiTheme="majorBidi" w:cstheme="majorBidi"/>
        </w:rPr>
        <w:footnoteReference w:id="7"/>
      </w:r>
      <w:r w:rsidR="005123F3" w:rsidRPr="00856ECB">
        <w:rPr>
          <w:rFonts w:asciiTheme="majorBidi" w:hAnsiTheme="majorBidi" w:cstheme="majorBidi"/>
        </w:rPr>
        <w:t xml:space="preserve"> </w:t>
      </w:r>
      <w:r w:rsidR="005123F3" w:rsidRPr="00856ECB">
        <w:rPr>
          <w:rFonts w:asciiTheme="majorBidi" w:hAnsiTheme="majorBidi" w:cstheme="majorBidi"/>
        </w:rPr>
        <w:fldChar w:fldCharType="begin"/>
      </w:r>
      <w:r w:rsidR="00BF6FEE">
        <w:rPr>
          <w:rFonts w:asciiTheme="majorBidi" w:hAnsiTheme="majorBidi" w:cstheme="majorBidi"/>
        </w:rPr>
        <w:instrText xml:space="preserve"> ADDIN EN.CITE &lt;EndNote&gt;&lt;Cite&gt;&lt;Author&gt;DeSantis&lt;/Author&gt;&lt;Year&gt;2006&lt;/Year&gt;&lt;RecNum&gt;366&lt;/RecNum&gt;&lt;DisplayText&gt;(55)&lt;/DisplayText&gt;&lt;record&gt;&lt;rec-number&gt;366&lt;/rec-number&gt;&lt;foreign-keys&gt;&lt;key app="EN" db-id="exwvr9fd40te9ner0f4ptrrorttf9svzawdd" timestamp="1753329842"&gt;366&lt;/key&gt;&lt;/foreign-keys&gt;&lt;ref-type name="Journal Article"&gt;17&lt;/ref-type&gt;&lt;contributors&gt;&lt;authors&gt;&lt;author&gt;DeSantis, Todd Z&lt;/author&gt;&lt;author&gt;Hugenholtz, Philip&lt;/author&gt;&lt;author&gt;Larsen, Neils&lt;/author&gt;&lt;author&gt;Rojas, Mark&lt;/author&gt;&lt;author&gt;Brodie, Eoin L&lt;/author&gt;&lt;author&gt;Keller, Keith&lt;/author&gt;&lt;author&gt;Huber, Thomas&lt;/author&gt;&lt;author&gt;Dalevi, Daniel&lt;/author&gt;&lt;author&gt;Hu, Ping&lt;/author&gt;&lt;author&gt;Andersen, Gary L&lt;/author&gt;&lt;/authors&gt;&lt;/contributors&gt;&lt;titles&gt;&lt;title&gt;Greengenes, a chimera-checked 16S rRNA gene database and workbench compatible with ARB&lt;/title&gt;&lt;secondary-title&gt;Applied and environmental microbiology&lt;/secondary-title&gt;&lt;/titles&gt;&lt;periodical&gt;&lt;full-title&gt;Applied and Environmental Microbiology&lt;/full-title&gt;&lt;/periodical&gt;&lt;pages&gt;5069-5072&lt;/pages&gt;&lt;volume&gt;72&lt;/volume&gt;&lt;number&gt;7&lt;/number&gt;&lt;dates&gt;&lt;year&gt;2006&lt;/year&gt;&lt;/dates&gt;&lt;isbn&gt;0099-2240&lt;/isbn&gt;&lt;urls&gt;&lt;/urls&gt;&lt;/record&gt;&lt;/Cite&gt;&lt;/EndNote&gt;</w:instrText>
      </w:r>
      <w:r w:rsidR="005123F3" w:rsidRPr="00856ECB">
        <w:rPr>
          <w:rFonts w:asciiTheme="majorBidi" w:hAnsiTheme="majorBidi" w:cstheme="majorBidi"/>
        </w:rPr>
        <w:fldChar w:fldCharType="separate"/>
      </w:r>
      <w:r w:rsidR="00BF6FEE">
        <w:rPr>
          <w:rFonts w:asciiTheme="majorBidi" w:hAnsiTheme="majorBidi" w:cstheme="majorBidi"/>
          <w:noProof/>
        </w:rPr>
        <w:t>(55)</w:t>
      </w:r>
      <w:r w:rsidR="005123F3" w:rsidRPr="00856ECB">
        <w:rPr>
          <w:rFonts w:asciiTheme="majorBidi" w:hAnsiTheme="majorBidi" w:cstheme="majorBidi"/>
        </w:rPr>
        <w:fldChar w:fldCharType="end"/>
      </w:r>
      <w:r w:rsidR="007D77F9" w:rsidRPr="00856ECB">
        <w:rPr>
          <w:rFonts w:asciiTheme="majorBidi" w:hAnsiTheme="majorBidi" w:cstheme="majorBidi"/>
        </w:rPr>
        <w:t>,</w:t>
      </w:r>
      <w:r w:rsidR="00EC0C67" w:rsidRPr="00856ECB">
        <w:rPr>
          <w:rFonts w:asciiTheme="majorBidi" w:hAnsiTheme="majorBidi" w:cstheme="majorBidi"/>
        </w:rPr>
        <w:t xml:space="preserve"> </w:t>
      </w:r>
      <w:r w:rsidR="007D77F9" w:rsidRPr="00856ECB">
        <w:rPr>
          <w:rFonts w:asciiTheme="majorBidi" w:hAnsiTheme="majorBidi" w:cstheme="majorBidi"/>
        </w:rPr>
        <w:t xml:space="preserve">while sequence alignment tools like BLAST and Bowtie facilitate optimal data comparison and annotation </w:t>
      </w:r>
      <w:r w:rsidR="00CA0C95" w:rsidRPr="00856ECB">
        <w:rPr>
          <w:rFonts w:asciiTheme="majorBidi" w:hAnsiTheme="majorBidi" w:cstheme="majorBidi"/>
        </w:rPr>
        <w:fldChar w:fldCharType="begin"/>
      </w:r>
      <w:r w:rsidR="00BF6FEE">
        <w:rPr>
          <w:rFonts w:asciiTheme="majorBidi" w:hAnsiTheme="majorBidi" w:cstheme="majorBidi"/>
        </w:rPr>
        <w:instrText xml:space="preserve"> ADDIN EN.CITE &lt;EndNote&gt;&lt;Cite&gt;&lt;Author&gt;Wu&lt;/Author&gt;&lt;Year&gt;2024&lt;/Year&gt;&lt;RecNum&gt;332&lt;/RecNum&gt;&lt;DisplayText&gt;(56)&lt;/DisplayText&gt;&lt;record&gt;&lt;rec-number&gt;332&lt;/rec-number&gt;&lt;foreign-keys&gt;&lt;key app="EN" db-id="exwvr9fd40te9ner0f4ptrrorttf9svzawdd" timestamp="1751913212"&gt;332&lt;/key&gt;&lt;/foreign-keys&gt;&lt;ref-type name="Journal Article"&gt;17&lt;/ref-type&gt;&lt;contributors&gt;&lt;authors&gt;&lt;author&gt;Wu, Jingyue&lt;/author&gt;&lt;author&gt;Singleton, Stephanie S&lt;/author&gt;&lt;author&gt;Bhuiyan, Urnisha&lt;/author&gt;&lt;author&gt;Krammer, Lori&lt;/author&gt;&lt;author&gt;Mazumder, Raja&lt;/author&gt;&lt;/authors&gt;&lt;/contributors&gt;&lt;titles&gt;&lt;title&gt;Multi-omics approaches to studying gastrointestinal microbiome in the context of precision medicine and machine learning&lt;/title&gt;&lt;secondary-title&gt;Frontiers in molecular biosciences&lt;/secondary-title&gt;&lt;/titles&gt;&lt;periodical&gt;&lt;full-title&gt;Frontiers in molecular biosciences&lt;/full-title&gt;&lt;/periodical&gt;&lt;pages&gt;1337373&lt;/pages&gt;&lt;volume&gt;10&lt;/volume&gt;&lt;dates&gt;&lt;year&gt;2024&lt;/year&gt;&lt;/dates&gt;&lt;isbn&gt;2296-889X&lt;/isbn&gt;&lt;urls&gt;&lt;/urls&gt;&lt;/record&gt;&lt;/Cite&gt;&lt;/EndNote&gt;</w:instrText>
      </w:r>
      <w:r w:rsidR="00CA0C95" w:rsidRPr="00856ECB">
        <w:rPr>
          <w:rFonts w:asciiTheme="majorBidi" w:hAnsiTheme="majorBidi" w:cstheme="majorBidi"/>
        </w:rPr>
        <w:fldChar w:fldCharType="separate"/>
      </w:r>
      <w:r w:rsidR="00BF6FEE">
        <w:rPr>
          <w:rFonts w:asciiTheme="majorBidi" w:hAnsiTheme="majorBidi" w:cstheme="majorBidi"/>
          <w:noProof/>
        </w:rPr>
        <w:t>(56)</w:t>
      </w:r>
      <w:r w:rsidR="00CA0C95" w:rsidRPr="00856ECB">
        <w:rPr>
          <w:rFonts w:asciiTheme="majorBidi" w:hAnsiTheme="majorBidi" w:cstheme="majorBidi"/>
        </w:rPr>
        <w:fldChar w:fldCharType="end"/>
      </w:r>
      <w:r w:rsidR="007D1775" w:rsidRPr="00856ECB">
        <w:rPr>
          <w:rFonts w:asciiTheme="majorBidi" w:hAnsiTheme="majorBidi" w:cstheme="majorBidi"/>
        </w:rPr>
        <w:t>.</w:t>
      </w:r>
    </w:p>
    <w:p w14:paraId="19C56D32" w14:textId="1BB137A4" w:rsidR="003B2D4C" w:rsidRPr="00856ECB" w:rsidRDefault="007D77F9" w:rsidP="009A0C39">
      <w:pPr>
        <w:spacing w:before="100" w:beforeAutospacing="1" w:after="100" w:afterAutospacing="1"/>
        <w:jc w:val="both"/>
        <w:rPr>
          <w:rFonts w:asciiTheme="majorBidi" w:hAnsiTheme="majorBidi" w:cstheme="majorBidi"/>
        </w:rPr>
      </w:pPr>
      <w:r w:rsidRPr="00856ECB">
        <w:rPr>
          <w:rFonts w:asciiTheme="majorBidi" w:hAnsiTheme="majorBidi" w:cstheme="majorBidi"/>
          <w:b/>
          <w:bCs/>
        </w:rPr>
        <w:t xml:space="preserve">Machine Learning in </w:t>
      </w:r>
      <w:proofErr w:type="spellStart"/>
      <w:r w:rsidRPr="00856ECB">
        <w:rPr>
          <w:rFonts w:asciiTheme="majorBidi" w:hAnsiTheme="majorBidi" w:cstheme="majorBidi"/>
          <w:b/>
          <w:bCs/>
        </w:rPr>
        <w:t>Microbiome</w:t>
      </w:r>
      <w:proofErr w:type="spellEnd"/>
      <w:r w:rsidRPr="00856ECB">
        <w:rPr>
          <w:rFonts w:asciiTheme="majorBidi" w:hAnsiTheme="majorBidi" w:cstheme="majorBidi"/>
          <w:b/>
          <w:bCs/>
        </w:rPr>
        <w:t xml:space="preserve"> Research</w:t>
      </w:r>
      <w:r w:rsidRPr="00856ECB">
        <w:rPr>
          <w:rFonts w:asciiTheme="majorBidi" w:hAnsiTheme="majorBidi" w:cstheme="majorBidi"/>
        </w:rPr>
        <w:t xml:space="preserve">: Machine learning (ML) has emerged as a transformative tool in </w:t>
      </w:r>
      <w:proofErr w:type="spellStart"/>
      <w:r w:rsidRPr="00856ECB">
        <w:rPr>
          <w:rFonts w:asciiTheme="majorBidi" w:hAnsiTheme="majorBidi" w:cstheme="majorBidi"/>
        </w:rPr>
        <w:t>microbiome</w:t>
      </w:r>
      <w:proofErr w:type="spellEnd"/>
      <w:r w:rsidRPr="00856ECB">
        <w:rPr>
          <w:rFonts w:asciiTheme="majorBidi" w:hAnsiTheme="majorBidi" w:cstheme="majorBidi"/>
        </w:rPr>
        <w:t xml:space="preserve"> science, enabling the identification of complex patterns in high-dimensional biological datasets. ML techniques support disease classification, risk prediction, and the development of personalized therapeutic strategies. Supervised learning algorithms, which are trained on labeled data, are commonly used to predict clinical outcomes or microbial shifts. Unsupervised learning, in contrast, detects hidden structures or clusters within unlabeled data, revealing previously unknown biological associations. Despite the challenges posed by noise and dimensionality in </w:t>
      </w:r>
      <w:proofErr w:type="spellStart"/>
      <w:r w:rsidRPr="00856ECB">
        <w:rPr>
          <w:rFonts w:asciiTheme="majorBidi" w:hAnsiTheme="majorBidi" w:cstheme="majorBidi"/>
        </w:rPr>
        <w:t>microbiome</w:t>
      </w:r>
      <w:proofErr w:type="spellEnd"/>
      <w:r w:rsidRPr="00856ECB">
        <w:rPr>
          <w:rFonts w:asciiTheme="majorBidi" w:hAnsiTheme="majorBidi" w:cstheme="majorBidi"/>
        </w:rPr>
        <w:t xml:space="preserve"> datasets, advanced techniques such as feature selection, ranking, and permutation testing enhance model performance and interpretability. These methods help identify key microbial taxa or gene signatures associated with specific host traits or disease phenotypes, facilitating the development of targeted, </w:t>
      </w:r>
      <w:proofErr w:type="spellStart"/>
      <w:r w:rsidRPr="00856ECB">
        <w:rPr>
          <w:rFonts w:asciiTheme="majorBidi" w:hAnsiTheme="majorBidi" w:cstheme="majorBidi"/>
        </w:rPr>
        <w:t>microbiome</w:t>
      </w:r>
      <w:proofErr w:type="spellEnd"/>
      <w:r w:rsidRPr="00856ECB">
        <w:rPr>
          <w:rFonts w:asciiTheme="majorBidi" w:hAnsiTheme="majorBidi" w:cstheme="majorBidi"/>
        </w:rPr>
        <w:t>-based precision therapies</w:t>
      </w:r>
      <w:r w:rsidR="005146B7" w:rsidRPr="00856ECB">
        <w:rPr>
          <w:rFonts w:asciiTheme="majorBidi" w:hAnsiTheme="majorBidi" w:cstheme="majorBidi"/>
        </w:rPr>
        <w:t xml:space="preserve"> </w:t>
      </w:r>
      <w:r w:rsidR="006B1527" w:rsidRPr="00856ECB">
        <w:rPr>
          <w:rFonts w:asciiTheme="majorBidi" w:hAnsiTheme="majorBidi" w:cstheme="majorBidi"/>
        </w:rPr>
        <w:fldChar w:fldCharType="begin"/>
      </w:r>
      <w:r w:rsidR="00BF6FEE">
        <w:rPr>
          <w:rFonts w:asciiTheme="majorBidi" w:hAnsiTheme="majorBidi" w:cstheme="majorBidi"/>
        </w:rPr>
        <w:instrText xml:space="preserve"> ADDIN EN.CITE &lt;EndNote&gt;&lt;Cite&gt;&lt;Author&gt;Abavisani&lt;/Author&gt;&lt;Year&gt;2024&lt;/Year&gt;&lt;RecNum&gt;333&lt;/RecNum&gt;&lt;DisplayText&gt;(57)&lt;/DisplayText&gt;&lt;record&gt;&lt;rec-number&gt;333&lt;/rec-number&gt;&lt;foreign-keys&gt;&lt;key app="EN" db-id="exwvr9fd40te9ner0f4ptrrorttf9svzawdd" timestamp="1751913299"&gt;333&lt;/key&gt;&lt;/foreign-keys&gt;&lt;ref-type name="Journal Article"&gt;17&lt;/ref-type&gt;&lt;contributors&gt;&lt;authors&gt;&lt;author&gt;Abavisani, Mohammad&lt;/author&gt;&lt;author&gt;Khoshrou, Alireza&lt;/author&gt;&lt;author&gt;Foroushan, Sobhan Karbas&lt;/author&gt;&lt;author&gt;Ebadpour, Negar&lt;/author&gt;&lt;author&gt;Sahebkar, Amirhossein&lt;/author&gt;&lt;/authors&gt;&lt;/contributors&gt;&lt;titles&gt;&lt;title&gt;Deciphering the gut microbiome: The revolution of artificial intelligence in microbiota analysis and intervention&lt;/title&gt;&lt;secondary-title&gt;Current Research in Biotechnology&lt;/secondary-title&gt;&lt;/titles&gt;&lt;periodical&gt;&lt;full-title&gt;Current Research in Biotechnology&lt;/full-title&gt;&lt;/periodical&gt;&lt;pages&gt;100211&lt;/pages&gt;&lt;volume&gt;7&lt;/volume&gt;&lt;dates&gt;&lt;year&gt;2024&lt;/year&gt;&lt;/dates&gt;&lt;isbn&gt;2590-2628&lt;/isbn&gt;&lt;urls&gt;&lt;/urls&gt;&lt;/record&gt;&lt;/Cite&gt;&lt;/EndNote&gt;</w:instrText>
      </w:r>
      <w:r w:rsidR="006B1527" w:rsidRPr="00856ECB">
        <w:rPr>
          <w:rFonts w:asciiTheme="majorBidi" w:hAnsiTheme="majorBidi" w:cstheme="majorBidi"/>
        </w:rPr>
        <w:fldChar w:fldCharType="separate"/>
      </w:r>
      <w:r w:rsidR="00BF6FEE">
        <w:rPr>
          <w:rFonts w:asciiTheme="majorBidi" w:hAnsiTheme="majorBidi" w:cstheme="majorBidi"/>
          <w:noProof/>
        </w:rPr>
        <w:t>(57)</w:t>
      </w:r>
      <w:r w:rsidR="006B1527" w:rsidRPr="00856ECB">
        <w:rPr>
          <w:rFonts w:asciiTheme="majorBidi" w:hAnsiTheme="majorBidi" w:cstheme="majorBidi"/>
        </w:rPr>
        <w:fldChar w:fldCharType="end"/>
      </w:r>
      <w:r w:rsidR="007D1775" w:rsidRPr="00856ECB">
        <w:rPr>
          <w:rFonts w:asciiTheme="majorBidi" w:hAnsiTheme="majorBidi" w:cstheme="majorBidi"/>
        </w:rPr>
        <w:t>.</w:t>
      </w:r>
    </w:p>
    <w:p w14:paraId="42E619BE" w14:textId="087986EE" w:rsidR="007D77F9" w:rsidRPr="008B5AB2" w:rsidRDefault="003B2D4C" w:rsidP="008B5AB2">
      <w:pPr>
        <w:pStyle w:val="NormalWeb"/>
        <w:jc w:val="both"/>
        <w:rPr>
          <w:rFonts w:asciiTheme="majorBidi" w:hAnsiTheme="majorBidi" w:cstheme="majorBidi"/>
          <w:i/>
          <w:iCs/>
          <w:color w:val="0070C0"/>
        </w:rPr>
      </w:pPr>
      <w:r w:rsidRPr="008B5AB2">
        <w:rPr>
          <w:rFonts w:asciiTheme="majorBidi" w:hAnsiTheme="majorBidi" w:cstheme="majorBidi"/>
          <w:i/>
          <w:iCs/>
          <w:color w:val="0070C0"/>
        </w:rPr>
        <w:t>Biotechnological Innovations</w:t>
      </w:r>
      <w:r w:rsidR="008B5AB2" w:rsidRPr="008B5AB2">
        <w:rPr>
          <w:rFonts w:asciiTheme="majorBidi" w:hAnsiTheme="majorBidi" w:cstheme="majorBidi"/>
          <w:i/>
          <w:iCs/>
          <w:color w:val="0070C0"/>
        </w:rPr>
        <w:t xml:space="preserve">: </w:t>
      </w:r>
      <w:r w:rsidR="007D77F9" w:rsidRPr="008B5AB2">
        <w:rPr>
          <w:rFonts w:asciiTheme="majorBidi" w:hAnsiTheme="majorBidi" w:cstheme="majorBidi"/>
          <w:i/>
          <w:iCs/>
          <w:color w:val="0070C0"/>
        </w:rPr>
        <w:t>CRISPR-Cas9 and Synthetic Biology Applications</w:t>
      </w:r>
    </w:p>
    <w:p w14:paraId="4C60407E" w14:textId="4F48D43C" w:rsidR="00262A6F" w:rsidRPr="00856ECB" w:rsidRDefault="007D77F9" w:rsidP="009A0C39">
      <w:pPr>
        <w:pStyle w:val="NormalWeb"/>
        <w:jc w:val="both"/>
        <w:rPr>
          <w:rFonts w:asciiTheme="majorBidi" w:hAnsiTheme="majorBidi" w:cstheme="majorBidi"/>
          <w:color w:val="0070C0"/>
        </w:rPr>
      </w:pPr>
      <w:r w:rsidRPr="00856ECB">
        <w:rPr>
          <w:rFonts w:asciiTheme="majorBidi" w:hAnsiTheme="majorBidi" w:cstheme="majorBidi"/>
        </w:rPr>
        <w:t xml:space="preserve">The CRISPR-Cas9 genome editing system offers a precise and efficient tool for modifying probiotic strains, enabling the enhancement of beneficial functions or the elimination of harmful genes. For example, </w:t>
      </w:r>
      <w:r w:rsidRPr="00856ECB">
        <w:rPr>
          <w:rFonts w:asciiTheme="majorBidi" w:hAnsiTheme="majorBidi" w:cstheme="majorBidi"/>
          <w:i/>
          <w:iCs/>
        </w:rPr>
        <w:t xml:space="preserve">Escherichia coli </w:t>
      </w:r>
      <w:proofErr w:type="spellStart"/>
      <w:r w:rsidRPr="00856ECB">
        <w:rPr>
          <w:rFonts w:asciiTheme="majorBidi" w:hAnsiTheme="majorBidi" w:cstheme="majorBidi"/>
          <w:i/>
          <w:iCs/>
        </w:rPr>
        <w:t>Nissle</w:t>
      </w:r>
      <w:proofErr w:type="spellEnd"/>
      <w:r w:rsidRPr="00856ECB">
        <w:rPr>
          <w:rFonts w:asciiTheme="majorBidi" w:hAnsiTheme="majorBidi" w:cstheme="majorBidi"/>
          <w:i/>
          <w:iCs/>
        </w:rPr>
        <w:t xml:space="preserve"> 1917 (</w:t>
      </w:r>
      <w:proofErr w:type="spellStart"/>
      <w:r w:rsidRPr="00856ECB">
        <w:rPr>
          <w:rFonts w:asciiTheme="majorBidi" w:hAnsiTheme="majorBidi" w:cstheme="majorBidi"/>
          <w:i/>
          <w:iCs/>
        </w:rPr>
        <w:t>EcN</w:t>
      </w:r>
      <w:proofErr w:type="spellEnd"/>
      <w:r w:rsidRPr="00856ECB">
        <w:rPr>
          <w:rFonts w:asciiTheme="majorBidi" w:hAnsiTheme="majorBidi" w:cstheme="majorBidi"/>
          <w:i/>
          <w:iCs/>
        </w:rPr>
        <w:t>)</w:t>
      </w:r>
      <w:r w:rsidRPr="00856ECB">
        <w:rPr>
          <w:rFonts w:asciiTheme="majorBidi" w:hAnsiTheme="majorBidi" w:cstheme="majorBidi"/>
        </w:rPr>
        <w:t xml:space="preserve"> has been genetically engineered using CRISPR-Cas9 to produce anti-inflammatory molecules such as interleukin-10 (IL-10). Additionally, synthetic genetic circuits have been designed to act as biosensors—allowing </w:t>
      </w:r>
      <w:proofErr w:type="spellStart"/>
      <w:r w:rsidRPr="00856ECB">
        <w:rPr>
          <w:rFonts w:asciiTheme="majorBidi" w:hAnsiTheme="majorBidi" w:cstheme="majorBidi"/>
        </w:rPr>
        <w:t>EcN</w:t>
      </w:r>
      <w:proofErr w:type="spellEnd"/>
      <w:r w:rsidRPr="00856ECB">
        <w:rPr>
          <w:rFonts w:asciiTheme="majorBidi" w:hAnsiTheme="majorBidi" w:cstheme="majorBidi"/>
        </w:rPr>
        <w:t xml:space="preserve"> to detect intestinal inflammation and release therapeutic agents in response.</w:t>
      </w:r>
      <w:r w:rsidRPr="00856ECB">
        <w:rPr>
          <w:rFonts w:asciiTheme="majorBidi" w:hAnsiTheme="majorBidi" w:cstheme="majorBidi"/>
          <w:color w:val="0070C0"/>
        </w:rPr>
        <w:t xml:space="preserve"> </w:t>
      </w:r>
      <w:r w:rsidRPr="00856ECB">
        <w:rPr>
          <w:rFonts w:asciiTheme="majorBidi" w:hAnsiTheme="majorBidi" w:cstheme="majorBidi"/>
        </w:rPr>
        <w:t>Heterologous gene expression strategies further extend the functional repertoire of engineered probiotics by enabling the production of metabolites such as short-chain fatty acids, γ-</w:t>
      </w:r>
      <w:proofErr w:type="spellStart"/>
      <w:r w:rsidRPr="00856ECB">
        <w:rPr>
          <w:rFonts w:asciiTheme="majorBidi" w:hAnsiTheme="majorBidi" w:cstheme="majorBidi"/>
        </w:rPr>
        <w:t>aminobutyric</w:t>
      </w:r>
      <w:proofErr w:type="spellEnd"/>
      <w:r w:rsidRPr="00856ECB">
        <w:rPr>
          <w:rFonts w:asciiTheme="majorBidi" w:hAnsiTheme="majorBidi" w:cstheme="majorBidi"/>
        </w:rPr>
        <w:t xml:space="preserve"> acid, and glucagon-like peptide-1. These molecules are involved in immune regulation, metabolic homeostasis, and </w:t>
      </w:r>
      <w:proofErr w:type="spellStart"/>
      <w:r w:rsidRPr="00856ECB">
        <w:rPr>
          <w:rFonts w:asciiTheme="majorBidi" w:hAnsiTheme="majorBidi" w:cstheme="majorBidi"/>
        </w:rPr>
        <w:t>neuro</w:t>
      </w:r>
      <w:proofErr w:type="spellEnd"/>
      <w:r w:rsidRPr="00856ECB">
        <w:rPr>
          <w:rFonts w:asciiTheme="majorBidi" w:hAnsiTheme="majorBidi" w:cstheme="majorBidi"/>
        </w:rPr>
        <w:t xml:space="preserve">-modulatory processes linked to the gut-brain axis. For improved genetic stability, these engineered traits are often inserted directly into the bacterial genome rather than maintained on plasmids. Additionally, metabolic pathway engineering can optimize the yield and functionality of health-promoting metabolites </w:t>
      </w:r>
      <w:r w:rsidR="004A2B05" w:rsidRPr="00856ECB">
        <w:rPr>
          <w:rFonts w:asciiTheme="majorBidi" w:hAnsiTheme="majorBidi" w:cstheme="majorBidi"/>
        </w:rPr>
        <w:fldChar w:fldCharType="begin"/>
      </w:r>
      <w:r w:rsidR="00BF6FEE">
        <w:rPr>
          <w:rFonts w:asciiTheme="majorBidi" w:hAnsiTheme="majorBidi" w:cstheme="majorBidi"/>
        </w:rPr>
        <w:instrText xml:space="preserve"> ADDIN EN.CITE &lt;EndNote&gt;&lt;Cite&gt;&lt;Author&gt;Zhou&lt;/Author&gt;&lt;Year&gt;2024&lt;/Year&gt;&lt;RecNum&gt;348&lt;/RecNum&gt;&lt;DisplayText&gt;(58)&lt;/DisplayText&gt;&lt;record&gt;&lt;rec-number&gt;348&lt;/rec-number&gt;&lt;foreign-keys&gt;&lt;key app="EN" db-id="exwvr9fd40te9ner0f4ptrrorttf9svzawdd" timestamp="1752171464"&gt;348&lt;/key&gt;&lt;/foreign-keys&gt;&lt;ref-type name="Journal Article"&gt;17&lt;/ref-type&gt;&lt;contributors&gt;&lt;authors&gt;&lt;author&gt;Zhou, Siyan&lt;/author&gt;&lt;author&gt;Zhao, Linlin&lt;/author&gt;&lt;author&gt;Zuo, Wenjie&lt;/author&gt;&lt;author&gt;Zheng, Yilin&lt;/author&gt;&lt;author&gt;Zhang, Ping&lt;/author&gt;&lt;author&gt;Sun, Yanan&lt;/author&gt;&lt;author&gt;Wang, Yang&lt;/author&gt;&lt;author&gt;Du, Guocheng&lt;/author&gt;&lt;author&gt;Kang, Zhen&lt;/author&gt;&lt;/authors&gt;&lt;/contributors&gt;&lt;titles&gt;&lt;title&gt;Minimizing endogenous cryptic plasmids to construct antibiotic-free expression systems for Escherichia coli Nissle 1917&lt;/title&gt;&lt;secondary-title&gt;Synthetic and Systems Biotechnology&lt;/secondary-title&gt;&lt;/titles&gt;&lt;periodical&gt;&lt;full-title&gt;Synthetic and Systems Biotechnology&lt;/full-title&gt;&lt;/periodical&gt;&lt;pages&gt;165-175&lt;/pages&gt;&lt;volume&gt;9&lt;/volume&gt;&lt;number&gt;1&lt;/number&gt;&lt;dates&gt;&lt;year&gt;2024&lt;/year&gt;&lt;/dates&gt;&lt;isbn&gt;2405-805X&lt;/isbn&gt;&lt;urls&gt;&lt;/urls&gt;&lt;/record&gt;&lt;/Cite&gt;&lt;/EndNote&gt;</w:instrText>
      </w:r>
      <w:r w:rsidR="004A2B05" w:rsidRPr="00856ECB">
        <w:rPr>
          <w:rFonts w:asciiTheme="majorBidi" w:hAnsiTheme="majorBidi" w:cstheme="majorBidi"/>
        </w:rPr>
        <w:fldChar w:fldCharType="separate"/>
      </w:r>
      <w:r w:rsidR="00BF6FEE">
        <w:rPr>
          <w:rFonts w:asciiTheme="majorBidi" w:hAnsiTheme="majorBidi" w:cstheme="majorBidi"/>
          <w:noProof/>
        </w:rPr>
        <w:t>(58)</w:t>
      </w:r>
      <w:r w:rsidR="004A2B05" w:rsidRPr="00856ECB">
        <w:rPr>
          <w:rFonts w:asciiTheme="majorBidi" w:hAnsiTheme="majorBidi" w:cstheme="majorBidi"/>
        </w:rPr>
        <w:fldChar w:fldCharType="end"/>
      </w:r>
      <w:r w:rsidR="003B2D4C" w:rsidRPr="00856ECB">
        <w:rPr>
          <w:rFonts w:asciiTheme="majorBidi" w:hAnsiTheme="majorBidi" w:cstheme="majorBidi"/>
        </w:rPr>
        <w:t>.</w:t>
      </w:r>
    </w:p>
    <w:p w14:paraId="15DFC526" w14:textId="2EB65EE8" w:rsidR="007D77F9" w:rsidRPr="008B5AB2" w:rsidRDefault="007D77F9" w:rsidP="009A0C39">
      <w:pPr>
        <w:pStyle w:val="NormalWeb"/>
        <w:jc w:val="both"/>
        <w:rPr>
          <w:rFonts w:asciiTheme="majorBidi" w:hAnsiTheme="majorBidi" w:cstheme="majorBidi"/>
          <w:i/>
          <w:iCs/>
          <w:color w:val="0070C0"/>
        </w:rPr>
      </w:pPr>
      <w:proofErr w:type="spellStart"/>
      <w:r w:rsidRPr="008B5AB2">
        <w:rPr>
          <w:rFonts w:asciiTheme="majorBidi" w:hAnsiTheme="majorBidi" w:cstheme="majorBidi"/>
          <w:i/>
          <w:iCs/>
          <w:color w:val="0070C0"/>
        </w:rPr>
        <w:t>Biocontainment</w:t>
      </w:r>
      <w:proofErr w:type="spellEnd"/>
      <w:r w:rsidRPr="008B5AB2">
        <w:rPr>
          <w:rFonts w:asciiTheme="majorBidi" w:hAnsiTheme="majorBidi" w:cstheme="majorBidi"/>
          <w:i/>
          <w:iCs/>
          <w:color w:val="0070C0"/>
        </w:rPr>
        <w:t xml:space="preserve"> through Genetic Kill Switches</w:t>
      </w:r>
    </w:p>
    <w:p w14:paraId="04E0769F" w14:textId="28D41DD4" w:rsidR="0017496A" w:rsidRDefault="007D77F9" w:rsidP="009A0C39">
      <w:pPr>
        <w:pStyle w:val="NormalWeb"/>
        <w:jc w:val="both"/>
        <w:rPr>
          <w:rFonts w:asciiTheme="majorBidi" w:hAnsiTheme="majorBidi" w:cstheme="majorBidi"/>
        </w:rPr>
      </w:pPr>
      <w:r w:rsidRPr="00856ECB">
        <w:rPr>
          <w:rFonts w:asciiTheme="majorBidi" w:hAnsiTheme="majorBidi" w:cstheme="majorBidi"/>
        </w:rPr>
        <w:t xml:space="preserve">To address safety concerns associated with engineered probiotics, synthetic biology has introduced genetic “kill switches”—programmable mechanisms that ensure microbes self-destruct after delivering their therapeutic payload. Despite the potential, maintaining the stability of these kill switches remains a challenge due to evolutionary pressures that may favor escape mutants. Recent advancements include the development of two CRISPR-based kill switch </w:t>
      </w:r>
      <w:r w:rsidRPr="00856ECB">
        <w:rPr>
          <w:rFonts w:asciiTheme="majorBidi" w:hAnsiTheme="majorBidi" w:cstheme="majorBidi"/>
        </w:rPr>
        <w:lastRenderedPageBreak/>
        <w:t xml:space="preserve">systems in </w:t>
      </w:r>
      <w:r w:rsidRPr="00856ECB">
        <w:rPr>
          <w:rFonts w:asciiTheme="majorBidi" w:hAnsiTheme="majorBidi" w:cstheme="majorBidi"/>
          <w:i/>
          <w:iCs/>
        </w:rPr>
        <w:t xml:space="preserve">E. coli </w:t>
      </w:r>
      <w:proofErr w:type="spellStart"/>
      <w:r w:rsidRPr="00856ECB">
        <w:rPr>
          <w:rFonts w:asciiTheme="majorBidi" w:hAnsiTheme="majorBidi" w:cstheme="majorBidi"/>
          <w:i/>
          <w:iCs/>
        </w:rPr>
        <w:t>Nissle</w:t>
      </w:r>
      <w:proofErr w:type="spellEnd"/>
      <w:r w:rsidRPr="00856ECB">
        <w:rPr>
          <w:rFonts w:asciiTheme="majorBidi" w:hAnsiTheme="majorBidi" w:cstheme="majorBidi"/>
        </w:rPr>
        <w:t xml:space="preserve"> </w:t>
      </w:r>
      <w:r w:rsidRPr="00856ECB">
        <w:rPr>
          <w:rFonts w:asciiTheme="majorBidi" w:hAnsiTheme="majorBidi" w:cstheme="majorBidi"/>
          <w:i/>
          <w:iCs/>
        </w:rPr>
        <w:t>1917</w:t>
      </w:r>
      <w:r w:rsidRPr="00856ECB">
        <w:rPr>
          <w:rFonts w:asciiTheme="majorBidi" w:hAnsiTheme="majorBidi" w:cstheme="majorBidi"/>
        </w:rPr>
        <w:t>: one activated by a chemical input and another by a combination of chemical and thermal signals. To improve reliability, researchers employed multiple stabilization strategies such as redundant circuit design, modulation of the bacterial SOS response, plasmid-free gene maintenance, and the use of competitive bacterial strains to prevent overgrowth. In preclinical mouse models, these systems effectively eliminated engineered strains in vivo, even after excretion, demonstrating their promise for safe deployment in future microbial therapies</w:t>
      </w:r>
      <w:r w:rsidR="0017496A" w:rsidRPr="00856ECB">
        <w:rPr>
          <w:rFonts w:asciiTheme="majorBidi" w:hAnsiTheme="majorBidi" w:cstheme="majorBidi"/>
        </w:rPr>
        <w:t xml:space="preserve"> </w:t>
      </w:r>
      <w:r w:rsidR="00F871B4" w:rsidRPr="00856ECB">
        <w:rPr>
          <w:rFonts w:asciiTheme="majorBidi" w:hAnsiTheme="majorBidi" w:cstheme="majorBidi"/>
        </w:rPr>
        <w:fldChar w:fldCharType="begin"/>
      </w:r>
      <w:r w:rsidR="00BF6FEE">
        <w:rPr>
          <w:rFonts w:asciiTheme="majorBidi" w:hAnsiTheme="majorBidi" w:cstheme="majorBidi"/>
        </w:rPr>
        <w:instrText xml:space="preserve"> ADDIN EN.CITE &lt;EndNote&gt;&lt;Cite&gt;&lt;Author&gt;Rottinghaus&lt;/Author&gt;&lt;Year&gt;2022&lt;/Year&gt;&lt;RecNum&gt;278&lt;/RecNum&gt;&lt;DisplayText&gt;(59)&lt;/DisplayText&gt;&lt;record&gt;&lt;rec-number&gt;278&lt;/rec-number&gt;&lt;foreign-keys&gt;&lt;key app="EN" db-id="exwvr9fd40te9ner0f4ptrrorttf9svzawdd" timestamp="1751825049"&gt;278&lt;/key&gt;&lt;/foreign-keys&gt;&lt;ref-type name="Journal Article"&gt;17&lt;/ref-type&gt;&lt;contributors&gt;&lt;authors&gt;&lt;author&gt;Rottinghaus, Austin G&lt;/author&gt;&lt;author&gt;Ferreiro, Aura&lt;/author&gt;&lt;author&gt;Fishbein, Skye RS&lt;/author&gt;&lt;author&gt;Dantas, Gautam&lt;/author&gt;&lt;author&gt;Moon, Tae Seok&lt;/author&gt;&lt;/authors&gt;&lt;/contributors&gt;&lt;titles&gt;&lt;title&gt;Genetically stable CRISPR-based kill switches for engineered microbes&lt;/title&gt;&lt;secondary-title&gt;Nature communications&lt;/secondary-title&gt;&lt;/titles&gt;&lt;periodical&gt;&lt;full-title&gt;Nature communications&lt;/full-title&gt;&lt;/periodical&gt;&lt;pages&gt;672&lt;/pages&gt;&lt;volume&gt;13&lt;/volume&gt;&lt;number&gt;1&lt;/number&gt;&lt;dates&gt;&lt;year&gt;2022&lt;/year&gt;&lt;/dates&gt;&lt;isbn&gt;2041-1723&lt;/isbn&gt;&lt;urls&gt;&lt;/urls&gt;&lt;/record&gt;&lt;/Cite&gt;&lt;/EndNote&gt;</w:instrText>
      </w:r>
      <w:r w:rsidR="00F871B4" w:rsidRPr="00856ECB">
        <w:rPr>
          <w:rFonts w:asciiTheme="majorBidi" w:hAnsiTheme="majorBidi" w:cstheme="majorBidi"/>
        </w:rPr>
        <w:fldChar w:fldCharType="separate"/>
      </w:r>
      <w:r w:rsidR="00BF6FEE">
        <w:rPr>
          <w:rFonts w:asciiTheme="majorBidi" w:hAnsiTheme="majorBidi" w:cstheme="majorBidi"/>
          <w:noProof/>
        </w:rPr>
        <w:t>(59)</w:t>
      </w:r>
      <w:r w:rsidR="00F871B4" w:rsidRPr="00856ECB">
        <w:rPr>
          <w:rFonts w:asciiTheme="majorBidi" w:hAnsiTheme="majorBidi" w:cstheme="majorBidi"/>
        </w:rPr>
        <w:fldChar w:fldCharType="end"/>
      </w:r>
      <w:r w:rsidR="0017496A" w:rsidRPr="00856ECB">
        <w:rPr>
          <w:rFonts w:asciiTheme="majorBidi" w:hAnsiTheme="majorBidi" w:cstheme="majorBidi"/>
        </w:rPr>
        <w:t>.</w:t>
      </w:r>
    </w:p>
    <w:p w14:paraId="53BC2DDF" w14:textId="086BA6D4" w:rsidR="00DD222A" w:rsidRDefault="00DD222A" w:rsidP="007E166E">
      <w:pPr>
        <w:pStyle w:val="NormalWeb"/>
        <w:jc w:val="both"/>
        <w:rPr>
          <w:rFonts w:asciiTheme="majorBidi" w:hAnsiTheme="majorBidi" w:cstheme="majorBidi"/>
        </w:rPr>
      </w:pPr>
      <w:bookmarkStart w:id="7" w:name="_Hlk209634523"/>
      <w:proofErr w:type="gramStart"/>
      <w:r>
        <w:rPr>
          <w:rFonts w:asciiTheme="majorBidi" w:hAnsiTheme="majorBidi" w:cstheme="majorBidi"/>
        </w:rPr>
        <w:t xml:space="preserve">Fig </w:t>
      </w:r>
      <w:r w:rsidR="00137074">
        <w:rPr>
          <w:rFonts w:asciiTheme="majorBidi" w:hAnsiTheme="majorBidi" w:cstheme="majorBidi"/>
        </w:rPr>
        <w:t>3</w:t>
      </w:r>
      <w:r>
        <w:rPr>
          <w:rFonts w:asciiTheme="majorBidi" w:hAnsiTheme="majorBidi" w:cstheme="majorBidi"/>
        </w:rPr>
        <w:t>.</w:t>
      </w:r>
      <w:proofErr w:type="gramEnd"/>
      <w:r>
        <w:rPr>
          <w:rFonts w:asciiTheme="majorBidi" w:hAnsiTheme="majorBidi" w:cstheme="majorBidi"/>
        </w:rPr>
        <w:t xml:space="preserve"> Kill switch design concept</w:t>
      </w:r>
      <w:r w:rsidR="00A63753">
        <w:rPr>
          <w:rFonts w:asciiTheme="majorBidi" w:hAnsiTheme="majorBidi" w:cstheme="majorBidi"/>
        </w:rPr>
        <w:t xml:space="preserve"> (</w:t>
      </w:r>
      <w:r w:rsidR="00A01F86">
        <w:rPr>
          <w:rFonts w:asciiTheme="majorBidi" w:hAnsiTheme="majorBidi" w:cstheme="majorBidi"/>
        </w:rPr>
        <w:t>c</w:t>
      </w:r>
      <w:r w:rsidR="00A63753">
        <w:rPr>
          <w:rFonts w:asciiTheme="majorBidi" w:hAnsiTheme="majorBidi" w:cstheme="majorBidi"/>
        </w:rPr>
        <w:t>reated with Biorender.com).</w:t>
      </w:r>
      <w:r>
        <w:rPr>
          <w:rFonts w:asciiTheme="majorBidi" w:hAnsiTheme="majorBidi" w:cstheme="majorBidi"/>
        </w:rPr>
        <w:t xml:space="preserve"> A) Permissive condition has low level of the toxin which is repressed. B) </w:t>
      </w:r>
      <w:r w:rsidR="00D011A6">
        <w:rPr>
          <w:rFonts w:asciiTheme="majorBidi" w:hAnsiTheme="majorBidi" w:cstheme="majorBidi"/>
        </w:rPr>
        <w:t xml:space="preserve">The effect of </w:t>
      </w:r>
      <w:r>
        <w:rPr>
          <w:rFonts w:asciiTheme="majorBidi" w:hAnsiTheme="majorBidi" w:cstheme="majorBidi"/>
        </w:rPr>
        <w:t>environment</w:t>
      </w:r>
      <w:r w:rsidR="00D011A6">
        <w:rPr>
          <w:rFonts w:asciiTheme="majorBidi" w:hAnsiTheme="majorBidi" w:cstheme="majorBidi"/>
        </w:rPr>
        <w:t xml:space="preserve"> changing on</w:t>
      </w:r>
      <w:r w:rsidR="00D011A6" w:rsidRPr="00D011A6">
        <w:t xml:space="preserve"> </w:t>
      </w:r>
      <w:r w:rsidR="00D011A6">
        <w:rPr>
          <w:rFonts w:asciiTheme="majorBidi" w:hAnsiTheme="majorBidi" w:cstheme="majorBidi"/>
        </w:rPr>
        <w:t>n</w:t>
      </w:r>
      <w:r w:rsidR="00D011A6" w:rsidRPr="00D011A6">
        <w:rPr>
          <w:rFonts w:asciiTheme="majorBidi" w:hAnsiTheme="majorBidi" w:cstheme="majorBidi"/>
        </w:rPr>
        <w:t>on-permissive</w:t>
      </w:r>
      <w:r w:rsidR="00D011A6">
        <w:rPr>
          <w:rFonts w:asciiTheme="majorBidi" w:hAnsiTheme="majorBidi" w:cstheme="majorBidi"/>
        </w:rPr>
        <w:t xml:space="preserve"> condition leads to increase</w:t>
      </w:r>
      <w:r>
        <w:rPr>
          <w:rFonts w:asciiTheme="majorBidi" w:hAnsiTheme="majorBidi" w:cstheme="majorBidi"/>
        </w:rPr>
        <w:t xml:space="preserve"> the level of toxin </w:t>
      </w:r>
      <w:r w:rsidR="00D011A6">
        <w:rPr>
          <w:rFonts w:asciiTheme="majorBidi" w:hAnsiTheme="majorBidi" w:cstheme="majorBidi"/>
        </w:rPr>
        <w:t>which no longer capable to inhibit a lethal level of free toxin</w:t>
      </w:r>
      <w:r w:rsidR="00C14520">
        <w:rPr>
          <w:rFonts w:asciiTheme="majorBidi" w:hAnsiTheme="majorBidi" w:cstheme="majorBidi"/>
        </w:rPr>
        <w:t>.</w:t>
      </w:r>
      <w:bookmarkEnd w:id="7"/>
    </w:p>
    <w:p w14:paraId="18F83B44" w14:textId="77777777" w:rsidR="00DD222A" w:rsidRPr="00856ECB" w:rsidRDefault="00DD222A" w:rsidP="009A0C39">
      <w:pPr>
        <w:pStyle w:val="NormalWeb"/>
        <w:jc w:val="both"/>
        <w:rPr>
          <w:rFonts w:asciiTheme="majorBidi" w:hAnsiTheme="majorBidi" w:cstheme="majorBidi"/>
        </w:rPr>
      </w:pPr>
    </w:p>
    <w:p w14:paraId="299977E3" w14:textId="64D4208D" w:rsidR="007D77F9" w:rsidRPr="008B5AB2" w:rsidRDefault="007D77F9" w:rsidP="009A0C39">
      <w:pPr>
        <w:pStyle w:val="NormalWeb"/>
        <w:jc w:val="both"/>
        <w:rPr>
          <w:rFonts w:asciiTheme="majorBidi" w:hAnsiTheme="majorBidi" w:cstheme="majorBidi"/>
          <w:i/>
          <w:iCs/>
          <w:color w:val="0070C0"/>
        </w:rPr>
      </w:pPr>
      <w:r w:rsidRPr="008B5AB2">
        <w:rPr>
          <w:rFonts w:asciiTheme="majorBidi" w:hAnsiTheme="majorBidi" w:cstheme="majorBidi"/>
          <w:i/>
          <w:iCs/>
          <w:color w:val="0070C0"/>
        </w:rPr>
        <w:t xml:space="preserve">Encapsulation Technologies and </w:t>
      </w:r>
      <w:proofErr w:type="spellStart"/>
      <w:r w:rsidRPr="008B5AB2">
        <w:rPr>
          <w:rFonts w:asciiTheme="majorBidi" w:hAnsiTheme="majorBidi" w:cstheme="majorBidi"/>
          <w:i/>
          <w:iCs/>
          <w:color w:val="0070C0"/>
        </w:rPr>
        <w:t>Synbiotic</w:t>
      </w:r>
      <w:proofErr w:type="spellEnd"/>
      <w:r w:rsidRPr="008B5AB2">
        <w:rPr>
          <w:rFonts w:asciiTheme="majorBidi" w:hAnsiTheme="majorBidi" w:cstheme="majorBidi"/>
          <w:i/>
          <w:iCs/>
          <w:color w:val="0070C0"/>
        </w:rPr>
        <w:t xml:space="preserve"> Development</w:t>
      </w:r>
    </w:p>
    <w:p w14:paraId="10FC3E01" w14:textId="23265F79" w:rsidR="00171021" w:rsidRPr="00856ECB" w:rsidRDefault="007D77F9" w:rsidP="009A0C39">
      <w:pPr>
        <w:spacing w:line="276" w:lineRule="auto"/>
        <w:jc w:val="both"/>
        <w:rPr>
          <w:rFonts w:asciiTheme="majorBidi" w:eastAsia="Times New Roman" w:hAnsiTheme="majorBidi" w:cstheme="majorBidi"/>
          <w:kern w:val="0"/>
          <w:lang w:eastAsia="en-GB"/>
          <w14:ligatures w14:val="none"/>
        </w:rPr>
      </w:pPr>
      <w:r w:rsidRPr="00856ECB">
        <w:rPr>
          <w:rFonts w:asciiTheme="majorBidi" w:eastAsia="Times New Roman" w:hAnsiTheme="majorBidi" w:cstheme="majorBidi"/>
          <w:kern w:val="0"/>
          <w:lang w:eastAsia="en-GB"/>
          <w14:ligatures w14:val="none"/>
        </w:rPr>
        <w:t xml:space="preserve">Encapsulation technologies, including microencapsulation and </w:t>
      </w:r>
      <w:proofErr w:type="spellStart"/>
      <w:r w:rsidRPr="00856ECB">
        <w:rPr>
          <w:rFonts w:asciiTheme="majorBidi" w:eastAsia="Times New Roman" w:hAnsiTheme="majorBidi" w:cstheme="majorBidi"/>
          <w:kern w:val="0"/>
          <w:lang w:eastAsia="en-GB"/>
          <w14:ligatures w14:val="none"/>
        </w:rPr>
        <w:t>nanoencapsulation</w:t>
      </w:r>
      <w:proofErr w:type="spellEnd"/>
      <w:r w:rsidRPr="00856ECB">
        <w:rPr>
          <w:rFonts w:asciiTheme="majorBidi" w:eastAsia="Times New Roman" w:hAnsiTheme="majorBidi" w:cstheme="majorBidi"/>
          <w:kern w:val="0"/>
          <w:lang w:eastAsia="en-GB"/>
          <w14:ligatures w14:val="none"/>
        </w:rPr>
        <w:t>, are being employed to</w:t>
      </w:r>
      <w:r w:rsidR="00171021" w:rsidRPr="00856ECB">
        <w:rPr>
          <w:rFonts w:asciiTheme="majorBidi" w:eastAsia="Times New Roman" w:hAnsiTheme="majorBidi" w:cstheme="majorBidi"/>
          <w:kern w:val="0"/>
          <w:lang w:eastAsia="en-GB"/>
          <w14:ligatures w14:val="none"/>
        </w:rPr>
        <w:t xml:space="preserve"> </w:t>
      </w:r>
      <w:r w:rsidRPr="00856ECB">
        <w:rPr>
          <w:rFonts w:asciiTheme="majorBidi" w:eastAsia="Times New Roman" w:hAnsiTheme="majorBidi" w:cstheme="majorBidi"/>
          <w:kern w:val="0"/>
          <w:lang w:eastAsia="en-GB"/>
          <w14:ligatures w14:val="none"/>
        </w:rPr>
        <w:t>improve the viability and targeted delivery of probiotics. These techniques protect beneficial microbes from harsh gastrointestinal conditions such as stomach acidity and bile salts, enhancing their survival and efficacy upon reaching the intestine</w:t>
      </w:r>
      <w:r w:rsidR="00676308" w:rsidRPr="00856ECB">
        <w:rPr>
          <w:rFonts w:asciiTheme="majorBidi" w:eastAsia="Times New Roman" w:hAnsiTheme="majorBidi" w:cstheme="majorBidi"/>
          <w:kern w:val="0"/>
          <w:lang w:eastAsia="en-GB"/>
          <w14:ligatures w14:val="none"/>
        </w:rPr>
        <w:t xml:space="preserve"> </w:t>
      </w:r>
      <w:r w:rsidR="00676308" w:rsidRPr="00856ECB">
        <w:rPr>
          <w:rFonts w:asciiTheme="majorBidi" w:eastAsia="Times New Roman" w:hAnsiTheme="majorBidi" w:cstheme="majorBidi"/>
          <w:kern w:val="0"/>
          <w:lang w:eastAsia="en-GB"/>
          <w14:ligatures w14:val="none"/>
        </w:rPr>
        <w:fldChar w:fldCharType="begin"/>
      </w:r>
      <w:r w:rsidR="00BF6FEE">
        <w:rPr>
          <w:rFonts w:asciiTheme="majorBidi" w:eastAsia="Times New Roman" w:hAnsiTheme="majorBidi" w:cstheme="majorBidi"/>
          <w:kern w:val="0"/>
          <w:lang w:eastAsia="en-GB"/>
          <w14:ligatures w14:val="none"/>
        </w:rPr>
        <w:instrText xml:space="preserve"> ADDIN EN.CITE &lt;EndNote&gt;&lt;Cite&gt;&lt;Author&gt;Motalebi Moghanjougi&lt;/Author&gt;&lt;Year&gt;2021&lt;/Year&gt;&lt;RecNum&gt;350&lt;/RecNum&gt;&lt;DisplayText&gt;(60)&lt;/DisplayText&gt;&lt;record&gt;&lt;rec-number&gt;350&lt;/rec-number&gt;&lt;foreign-keys&gt;&lt;key app="EN" db-id="exwvr9fd40te9ner0f4ptrrorttf9svzawdd" timestamp="1752221200"&gt;350&lt;/key&gt;&lt;/foreign-keys&gt;&lt;ref-type name="Journal Article"&gt;17&lt;/ref-type&gt;&lt;contributors&gt;&lt;authors&gt;&lt;author&gt;Motalebi Moghanjougi, Zahra&lt;/author&gt;&lt;author&gt;Rezazadeh Bari, Mahmoud&lt;/author&gt;&lt;author&gt;Alizadeh Khaledabad, Mohammad&lt;/author&gt;&lt;author&gt;Amiri, Saber&lt;/author&gt;&lt;author&gt;Almasi, Hadi&lt;/author&gt;&lt;/authors&gt;&lt;/contributors&gt;&lt;titles&gt;&lt;title&gt;Microencapsulation of Lactobacillus acidophilus LA‐5 and Bifidobacterium animalis BB‐12 in pectin and sodium alginate: A comparative study on viability, stability, and structure&lt;/title&gt;&lt;secondary-title&gt;Food Science &amp;amp; Nutrition&lt;/secondary-title&gt;&lt;/titles&gt;&lt;periodical&gt;&lt;full-title&gt;Food Science &amp;amp; Nutrition&lt;/full-title&gt;&lt;/periodical&gt;&lt;pages&gt;5103-5111&lt;/pages&gt;&lt;volume&gt;9&lt;/volume&gt;&lt;number&gt;9&lt;/number&gt;&lt;dates&gt;&lt;year&gt;2021&lt;/year&gt;&lt;/dates&gt;&lt;isbn&gt;2048-7177&lt;/isbn&gt;&lt;urls&gt;&lt;/urls&gt;&lt;/record&gt;&lt;/Cite&gt;&lt;/EndNote&gt;</w:instrText>
      </w:r>
      <w:r w:rsidR="00676308" w:rsidRPr="00856ECB">
        <w:rPr>
          <w:rFonts w:asciiTheme="majorBidi" w:eastAsia="Times New Roman" w:hAnsiTheme="majorBidi" w:cstheme="majorBidi"/>
          <w:kern w:val="0"/>
          <w:lang w:eastAsia="en-GB"/>
          <w14:ligatures w14:val="none"/>
        </w:rPr>
        <w:fldChar w:fldCharType="separate"/>
      </w:r>
      <w:r w:rsidR="00BF6FEE">
        <w:rPr>
          <w:rFonts w:asciiTheme="majorBidi" w:eastAsia="Times New Roman" w:hAnsiTheme="majorBidi" w:cstheme="majorBidi"/>
          <w:noProof/>
          <w:kern w:val="0"/>
          <w:lang w:eastAsia="en-GB"/>
          <w14:ligatures w14:val="none"/>
        </w:rPr>
        <w:t>(60)</w:t>
      </w:r>
      <w:r w:rsidR="00676308" w:rsidRPr="00856ECB">
        <w:rPr>
          <w:rFonts w:asciiTheme="majorBidi" w:eastAsia="Times New Roman" w:hAnsiTheme="majorBidi" w:cstheme="majorBidi"/>
          <w:kern w:val="0"/>
          <w:lang w:eastAsia="en-GB"/>
          <w14:ligatures w14:val="none"/>
        </w:rPr>
        <w:fldChar w:fldCharType="end"/>
      </w:r>
      <w:r w:rsidR="00171021" w:rsidRPr="00856ECB">
        <w:rPr>
          <w:rFonts w:asciiTheme="majorBidi" w:eastAsia="Times New Roman" w:hAnsiTheme="majorBidi" w:cstheme="majorBidi"/>
          <w:kern w:val="0"/>
          <w:lang w:eastAsia="en-GB"/>
          <w14:ligatures w14:val="none"/>
        </w:rPr>
        <w:t xml:space="preserve">. </w:t>
      </w:r>
      <w:r w:rsidRPr="00856ECB">
        <w:rPr>
          <w:rFonts w:asciiTheme="majorBidi" w:eastAsia="Times New Roman" w:hAnsiTheme="majorBidi" w:cstheme="majorBidi"/>
          <w:kern w:val="0"/>
          <w:lang w:eastAsia="en-GB"/>
          <w14:ligatures w14:val="none"/>
        </w:rPr>
        <w:t xml:space="preserve">Furthermore, the formulation of </w:t>
      </w:r>
      <w:proofErr w:type="spellStart"/>
      <w:r w:rsidRPr="00856ECB">
        <w:rPr>
          <w:rFonts w:asciiTheme="majorBidi" w:eastAsia="Times New Roman" w:hAnsiTheme="majorBidi" w:cstheme="majorBidi"/>
          <w:kern w:val="0"/>
          <w:lang w:eastAsia="en-GB"/>
          <w14:ligatures w14:val="none"/>
        </w:rPr>
        <w:t>synbiotics</w:t>
      </w:r>
      <w:proofErr w:type="spellEnd"/>
      <w:r w:rsidRPr="00856ECB">
        <w:rPr>
          <w:rFonts w:asciiTheme="majorBidi" w:eastAsia="Times New Roman" w:hAnsiTheme="majorBidi" w:cstheme="majorBidi"/>
          <w:kern w:val="0"/>
          <w:lang w:eastAsia="en-GB"/>
          <w14:ligatures w14:val="none"/>
        </w:rPr>
        <w:t>—combinations of probiotics with complementary prebiotics—offers synergistic benefits by supporting microbial colonization and activity. These formulations help restore microbial balance and improve host outcomes across a range of disorders</w:t>
      </w:r>
      <w:r w:rsidR="00676308" w:rsidRPr="00856ECB">
        <w:rPr>
          <w:rFonts w:asciiTheme="majorBidi" w:eastAsia="Times New Roman" w:hAnsiTheme="majorBidi" w:cstheme="majorBidi"/>
          <w:kern w:val="0"/>
          <w:lang w:eastAsia="en-GB"/>
          <w14:ligatures w14:val="none"/>
        </w:rPr>
        <w:t xml:space="preserve"> </w:t>
      </w:r>
      <w:r w:rsidR="00676308" w:rsidRPr="00856ECB">
        <w:rPr>
          <w:rFonts w:asciiTheme="majorBidi" w:eastAsia="Times New Roman" w:hAnsiTheme="majorBidi" w:cstheme="majorBidi"/>
          <w:kern w:val="0"/>
          <w:lang w:eastAsia="en-GB"/>
          <w14:ligatures w14:val="none"/>
        </w:rPr>
        <w:fldChar w:fldCharType="begin"/>
      </w:r>
      <w:r w:rsidR="008B543B">
        <w:rPr>
          <w:rFonts w:asciiTheme="majorBidi" w:eastAsia="Times New Roman" w:hAnsiTheme="majorBidi" w:cstheme="majorBidi"/>
          <w:kern w:val="0"/>
          <w:lang w:eastAsia="en-GB"/>
          <w14:ligatures w14:val="none"/>
        </w:rPr>
        <w:instrText xml:space="preserve"> ADDIN EN.CITE &lt;EndNote&gt;&lt;Cite&gt;&lt;Author&gt;Markowiak&lt;/Author&gt;&lt;Year&gt;2017&lt;/Year&gt;&lt;RecNum&gt;126&lt;/RecNum&gt;&lt;DisplayText&gt;(61)&lt;/DisplayText&gt;&lt;record&gt;&lt;rec-number&gt;126&lt;/rec-number&gt;&lt;foreign-keys&gt;&lt;key app="EN" db-id="sd0sxfttvexts3exapdxr2xyzd5z5et0e99s" timestamp="1754916588"&gt;126&lt;/key&gt;&lt;/foreign-keys&gt;&lt;ref-type name="Journal Article"&gt;17&lt;/ref-type&gt;&lt;contributors&gt;&lt;authors&gt;&lt;author&gt;Markowiak, Paulina&lt;/author&gt;&lt;author&gt;Śliżewska, Katarzyna&lt;/author&gt;&lt;/authors&gt;&lt;/contributors&gt;&lt;titles&gt;&lt;title&gt;Effects of probiotics, prebiotics, and synbiotics on human health&lt;/title&gt;&lt;secondary-title&gt;Nutrients&lt;/secondary-title&gt;&lt;/titles&gt;&lt;periodical&gt;&lt;full-title&gt;Nutrients&lt;/full-title&gt;&lt;/periodical&gt;&lt;pages&gt;1021&lt;/pages&gt;&lt;volume&gt;9&lt;/volume&gt;&lt;number&gt;9&lt;/number&gt;&lt;dates&gt;&lt;year&gt;2017&lt;/year&gt;&lt;/dates&gt;&lt;isbn&gt;2072-6643&lt;/isbn&gt;&lt;urls&gt;&lt;/urls&gt;&lt;/record&gt;&lt;/Cite&gt;&lt;/EndNote&gt;</w:instrText>
      </w:r>
      <w:r w:rsidR="00676308" w:rsidRPr="00856ECB">
        <w:rPr>
          <w:rFonts w:asciiTheme="majorBidi" w:eastAsia="Times New Roman" w:hAnsiTheme="majorBidi" w:cstheme="majorBidi"/>
          <w:kern w:val="0"/>
          <w:lang w:eastAsia="en-GB"/>
          <w14:ligatures w14:val="none"/>
        </w:rPr>
        <w:fldChar w:fldCharType="separate"/>
      </w:r>
      <w:r w:rsidR="00BF6FEE">
        <w:rPr>
          <w:rFonts w:asciiTheme="majorBidi" w:eastAsia="Times New Roman" w:hAnsiTheme="majorBidi" w:cstheme="majorBidi"/>
          <w:noProof/>
          <w:kern w:val="0"/>
          <w:lang w:eastAsia="en-GB"/>
          <w14:ligatures w14:val="none"/>
        </w:rPr>
        <w:t>(61)</w:t>
      </w:r>
      <w:r w:rsidR="00676308" w:rsidRPr="00856ECB">
        <w:rPr>
          <w:rFonts w:asciiTheme="majorBidi" w:eastAsia="Times New Roman" w:hAnsiTheme="majorBidi" w:cstheme="majorBidi"/>
          <w:kern w:val="0"/>
          <w:lang w:eastAsia="en-GB"/>
          <w14:ligatures w14:val="none"/>
        </w:rPr>
        <w:fldChar w:fldCharType="end"/>
      </w:r>
      <w:r w:rsidRPr="00856ECB">
        <w:rPr>
          <w:rFonts w:asciiTheme="majorBidi" w:eastAsia="Times New Roman" w:hAnsiTheme="majorBidi" w:cstheme="majorBidi"/>
          <w:kern w:val="0"/>
          <w:lang w:eastAsia="en-GB"/>
          <w14:ligatures w14:val="none"/>
        </w:rPr>
        <w:t xml:space="preserve">. Additionally, </w:t>
      </w:r>
      <w:proofErr w:type="spellStart"/>
      <w:r w:rsidRPr="00856ECB">
        <w:rPr>
          <w:rFonts w:asciiTheme="majorBidi" w:eastAsia="Times New Roman" w:hAnsiTheme="majorBidi" w:cstheme="majorBidi"/>
          <w:kern w:val="0"/>
          <w:lang w:eastAsia="en-GB"/>
          <w14:ligatures w14:val="none"/>
        </w:rPr>
        <w:t>postbiotics</w:t>
      </w:r>
      <w:proofErr w:type="spellEnd"/>
      <w:r w:rsidRPr="00856ECB">
        <w:rPr>
          <w:rFonts w:asciiTheme="majorBidi" w:eastAsia="Times New Roman" w:hAnsiTheme="majorBidi" w:cstheme="majorBidi"/>
          <w:kern w:val="0"/>
          <w:lang w:eastAsia="en-GB"/>
          <w14:ligatures w14:val="none"/>
        </w:rPr>
        <w:t>—non-viable microbial products with bioactive effects—are emerging as a safer, more stable class of next-generation therapeutics that do not rely on live organisms yet still deliver significant health benefits</w:t>
      </w:r>
      <w:r w:rsidR="00452DAA" w:rsidRPr="00856ECB">
        <w:rPr>
          <w:rFonts w:asciiTheme="majorBidi" w:eastAsia="Times New Roman" w:hAnsiTheme="majorBidi" w:cstheme="majorBidi"/>
          <w:kern w:val="0"/>
          <w:lang w:eastAsia="en-GB"/>
          <w14:ligatures w14:val="none"/>
        </w:rPr>
        <w:t xml:space="preserve"> </w:t>
      </w:r>
      <w:r w:rsidR="00452DAA" w:rsidRPr="00856ECB">
        <w:rPr>
          <w:rFonts w:asciiTheme="majorBidi" w:eastAsia="Times New Roman" w:hAnsiTheme="majorBidi" w:cstheme="majorBidi"/>
          <w:kern w:val="0"/>
          <w:lang w:eastAsia="en-GB"/>
          <w14:ligatures w14:val="none"/>
        </w:rPr>
        <w:fldChar w:fldCharType="begin"/>
      </w:r>
      <w:r w:rsidR="00BF6FEE">
        <w:rPr>
          <w:rFonts w:asciiTheme="majorBidi" w:eastAsia="Times New Roman" w:hAnsiTheme="majorBidi" w:cstheme="majorBidi"/>
          <w:kern w:val="0"/>
          <w:lang w:eastAsia="en-GB"/>
          <w14:ligatures w14:val="none"/>
        </w:rPr>
        <w:instrText xml:space="preserve"> ADDIN EN.CITE &lt;EndNote&gt;&lt;Cite&gt;&lt;Author&gt;Aggarwal&lt;/Author&gt;&lt;Year&gt;2022&lt;/Year&gt;&lt;RecNum&gt;372&lt;/RecNum&gt;&lt;DisplayText&gt;(62)&lt;/DisplayText&gt;&lt;record&gt;&lt;rec-number&gt;372&lt;/rec-number&gt;&lt;foreign-keys&gt;&lt;key app="EN" db-id="exwvr9fd40te9ner0f4ptrrorttf9svzawdd" timestamp="1753845642"&gt;372&lt;/key&gt;&lt;/foreign-keys&gt;&lt;ref-type name="Journal Article"&gt;17&lt;/ref-type&gt;&lt;contributors&gt;&lt;authors&gt;&lt;author&gt;Aggarwal, Sunita&lt;/author&gt;&lt;author&gt;Sabharwal, Vandana&lt;/author&gt;&lt;author&gt;Kaushik, Pragya&lt;/author&gt;&lt;author&gt;Joshi, Anushka&lt;/author&gt;&lt;author&gt;Aayushi, Aayushi&lt;/author&gt;&lt;author&gt;Suri, Manjula&lt;/author&gt;&lt;/authors&gt;&lt;/contributors&gt;&lt;titles&gt;&lt;title&gt;Postbiotics: From emerging concept to application&lt;/title&gt;&lt;secondary-title&gt;Frontiers in Sustainable Food Systems&lt;/secondary-title&gt;&lt;/titles&gt;&lt;periodical&gt;&lt;full-title&gt;Frontiers in Sustainable Food Systems&lt;/full-title&gt;&lt;/periodical&gt;&lt;pages&gt;887642&lt;/pages&gt;&lt;volume&gt;6&lt;/volume&gt;&lt;dates&gt;&lt;year&gt;2022&lt;/year&gt;&lt;/dates&gt;&lt;isbn&gt;2571-581X&lt;/isbn&gt;&lt;urls&gt;&lt;/urls&gt;&lt;/record&gt;&lt;/Cite&gt;&lt;/EndNote&gt;</w:instrText>
      </w:r>
      <w:r w:rsidR="00452DAA" w:rsidRPr="00856ECB">
        <w:rPr>
          <w:rFonts w:asciiTheme="majorBidi" w:eastAsia="Times New Roman" w:hAnsiTheme="majorBidi" w:cstheme="majorBidi"/>
          <w:kern w:val="0"/>
          <w:lang w:eastAsia="en-GB"/>
          <w14:ligatures w14:val="none"/>
        </w:rPr>
        <w:fldChar w:fldCharType="separate"/>
      </w:r>
      <w:r w:rsidR="00BF6FEE">
        <w:rPr>
          <w:rFonts w:asciiTheme="majorBidi" w:eastAsia="Times New Roman" w:hAnsiTheme="majorBidi" w:cstheme="majorBidi"/>
          <w:noProof/>
          <w:kern w:val="0"/>
          <w:lang w:eastAsia="en-GB"/>
          <w14:ligatures w14:val="none"/>
        </w:rPr>
        <w:t>(62)</w:t>
      </w:r>
      <w:r w:rsidR="00452DAA" w:rsidRPr="00856ECB">
        <w:rPr>
          <w:rFonts w:asciiTheme="majorBidi" w:eastAsia="Times New Roman" w:hAnsiTheme="majorBidi" w:cstheme="majorBidi"/>
          <w:kern w:val="0"/>
          <w:lang w:eastAsia="en-GB"/>
          <w14:ligatures w14:val="none"/>
        </w:rPr>
        <w:fldChar w:fldCharType="end"/>
      </w:r>
      <w:r w:rsidRPr="00856ECB">
        <w:rPr>
          <w:rFonts w:asciiTheme="majorBidi" w:eastAsia="Times New Roman" w:hAnsiTheme="majorBidi" w:cstheme="majorBidi"/>
          <w:kern w:val="0"/>
          <w:lang w:eastAsia="en-GB"/>
          <w14:ligatures w14:val="none"/>
        </w:rPr>
        <w:t>.</w:t>
      </w:r>
    </w:p>
    <w:p w14:paraId="6D80559A" w14:textId="6F60E8C8" w:rsidR="00171021" w:rsidRPr="00856ECB" w:rsidRDefault="00171021" w:rsidP="009A0C39">
      <w:pPr>
        <w:spacing w:line="276" w:lineRule="auto"/>
        <w:jc w:val="both"/>
        <w:rPr>
          <w:rFonts w:asciiTheme="majorBidi" w:eastAsia="Times New Roman" w:hAnsiTheme="majorBidi" w:cstheme="majorBidi"/>
          <w:kern w:val="0"/>
          <w:lang w:eastAsia="en-GB"/>
          <w14:ligatures w14:val="none"/>
        </w:rPr>
      </w:pPr>
    </w:p>
    <w:p w14:paraId="73CF39F6" w14:textId="77777777" w:rsidR="00171021" w:rsidRPr="00856ECB" w:rsidRDefault="00171021" w:rsidP="009A0C39">
      <w:pPr>
        <w:spacing w:line="276" w:lineRule="auto"/>
        <w:jc w:val="both"/>
        <w:rPr>
          <w:rFonts w:asciiTheme="majorBidi" w:eastAsia="Times New Roman" w:hAnsiTheme="majorBidi" w:cstheme="majorBidi"/>
          <w:kern w:val="0"/>
          <w:lang w:eastAsia="en-GB"/>
          <w14:ligatures w14:val="none"/>
        </w:rPr>
      </w:pPr>
    </w:p>
    <w:p w14:paraId="5A4B5D24" w14:textId="01D8741A" w:rsidR="00171021" w:rsidRPr="00856ECB" w:rsidRDefault="00C812F0" w:rsidP="009A0C39">
      <w:pPr>
        <w:spacing w:line="276" w:lineRule="auto"/>
        <w:jc w:val="both"/>
        <w:rPr>
          <w:rFonts w:asciiTheme="majorBidi" w:hAnsiTheme="majorBidi" w:cstheme="majorBidi"/>
          <w:color w:val="000000" w:themeColor="text1"/>
        </w:rPr>
      </w:pPr>
      <w:bookmarkStart w:id="8" w:name="_Hlk209869655"/>
      <w:proofErr w:type="gramStart"/>
      <w:r w:rsidRPr="00856ECB">
        <w:rPr>
          <w:rFonts w:asciiTheme="majorBidi" w:hAnsiTheme="majorBidi" w:cstheme="majorBidi"/>
          <w:color w:val="000000" w:themeColor="text1"/>
        </w:rPr>
        <w:t>Table</w:t>
      </w:r>
      <w:r w:rsidR="00747720" w:rsidRPr="00856ECB">
        <w:rPr>
          <w:rFonts w:asciiTheme="majorBidi" w:hAnsiTheme="majorBidi" w:cstheme="majorBidi"/>
          <w:color w:val="000000" w:themeColor="text1"/>
        </w:rPr>
        <w:t xml:space="preserve"> </w:t>
      </w:r>
      <w:r w:rsidR="00CE21C6" w:rsidRPr="00856ECB">
        <w:rPr>
          <w:rFonts w:asciiTheme="majorBidi" w:hAnsiTheme="majorBidi" w:cstheme="majorBidi"/>
          <w:color w:val="000000" w:themeColor="text1"/>
        </w:rPr>
        <w:t>2</w:t>
      </w:r>
      <w:r w:rsidR="00747720" w:rsidRPr="00856ECB">
        <w:rPr>
          <w:rFonts w:asciiTheme="majorBidi" w:hAnsiTheme="majorBidi" w:cstheme="majorBidi"/>
          <w:color w:val="000000" w:themeColor="text1"/>
        </w:rPr>
        <w:t>.</w:t>
      </w:r>
      <w:proofErr w:type="gramEnd"/>
      <w:r w:rsidRPr="00856ECB">
        <w:rPr>
          <w:rFonts w:asciiTheme="majorBidi" w:hAnsiTheme="majorBidi" w:cstheme="majorBidi"/>
          <w:color w:val="000000" w:themeColor="text1"/>
        </w:rPr>
        <w:t xml:space="preserve"> </w:t>
      </w:r>
      <w:r w:rsidR="00747720" w:rsidRPr="00856ECB">
        <w:rPr>
          <w:rFonts w:asciiTheme="majorBidi" w:hAnsiTheme="majorBidi" w:cstheme="majorBidi"/>
          <w:color w:val="000000" w:themeColor="text1"/>
        </w:rPr>
        <w:t>B</w:t>
      </w:r>
      <w:r w:rsidRPr="00856ECB">
        <w:rPr>
          <w:rFonts w:asciiTheme="majorBidi" w:hAnsiTheme="majorBidi" w:cstheme="majorBidi"/>
          <w:color w:val="000000" w:themeColor="text1"/>
        </w:rPr>
        <w:t xml:space="preserve">iotechnological advances </w:t>
      </w:r>
      <w:r w:rsidR="00747720" w:rsidRPr="00856ECB">
        <w:rPr>
          <w:rFonts w:asciiTheme="majorBidi" w:hAnsiTheme="majorBidi" w:cstheme="majorBidi"/>
          <w:color w:val="000000" w:themeColor="text1"/>
        </w:rPr>
        <w:t>on</w:t>
      </w:r>
      <w:r w:rsidRPr="00856ECB">
        <w:rPr>
          <w:rFonts w:asciiTheme="majorBidi" w:hAnsiTheme="majorBidi" w:cstheme="majorBidi"/>
          <w:color w:val="000000" w:themeColor="text1"/>
        </w:rPr>
        <w:t xml:space="preserve"> probiotics</w:t>
      </w:r>
    </w:p>
    <w:bookmarkEnd w:id="8"/>
    <w:p w14:paraId="1A64EBF8" w14:textId="7B22D33E" w:rsidR="00F16156" w:rsidRPr="00856ECB" w:rsidRDefault="00F16156" w:rsidP="009A0C39">
      <w:pPr>
        <w:spacing w:line="276" w:lineRule="auto"/>
        <w:jc w:val="both"/>
        <w:rPr>
          <w:rFonts w:asciiTheme="majorBidi" w:hAnsiTheme="majorBidi" w:cstheme="majorBidi"/>
          <w:color w:val="000000" w:themeColor="text1"/>
        </w:rPr>
      </w:pPr>
    </w:p>
    <w:p w14:paraId="304C3F8F" w14:textId="77777777" w:rsidR="008B5AB2" w:rsidRDefault="00304335" w:rsidP="008B5AB2">
      <w:pPr>
        <w:pStyle w:val="Heading1"/>
        <w:jc w:val="both"/>
        <w:rPr>
          <w:rFonts w:asciiTheme="majorBidi" w:hAnsiTheme="majorBidi"/>
          <w:color w:val="0070C0"/>
          <w:sz w:val="24"/>
          <w:szCs w:val="24"/>
          <w:lang w:bidi="fa-IR"/>
        </w:rPr>
      </w:pPr>
      <w:r w:rsidRPr="00856ECB">
        <w:rPr>
          <w:rFonts w:asciiTheme="majorBidi" w:hAnsiTheme="majorBidi"/>
          <w:color w:val="0070C0"/>
          <w:sz w:val="24"/>
          <w:szCs w:val="24"/>
          <w:lang w:bidi="fa-IR"/>
        </w:rPr>
        <w:t>Challenges</w:t>
      </w:r>
      <w:r w:rsidR="00852F10" w:rsidRPr="00856ECB">
        <w:rPr>
          <w:rFonts w:asciiTheme="majorBidi" w:hAnsiTheme="majorBidi"/>
          <w:color w:val="0070C0"/>
          <w:sz w:val="24"/>
          <w:szCs w:val="24"/>
          <w:lang w:bidi="fa-IR"/>
        </w:rPr>
        <w:t xml:space="preserve"> and Future direction</w:t>
      </w:r>
    </w:p>
    <w:p w14:paraId="4E083593" w14:textId="5D375F34" w:rsidR="00374DF1" w:rsidRPr="008B5AB2" w:rsidRDefault="00BB64F9" w:rsidP="008B5AB2">
      <w:pPr>
        <w:pStyle w:val="Heading1"/>
        <w:jc w:val="both"/>
        <w:rPr>
          <w:rFonts w:asciiTheme="majorBidi" w:hAnsiTheme="majorBidi"/>
          <w:i/>
          <w:iCs/>
          <w:color w:val="4472C4" w:themeColor="accent1"/>
          <w:sz w:val="24"/>
          <w:szCs w:val="24"/>
        </w:rPr>
      </w:pPr>
      <w:r w:rsidRPr="008B5AB2">
        <w:rPr>
          <w:rFonts w:asciiTheme="majorBidi" w:hAnsiTheme="majorBidi"/>
          <w:i/>
          <w:iCs/>
          <w:color w:val="4472C4" w:themeColor="accent1"/>
          <w:sz w:val="24"/>
          <w:szCs w:val="24"/>
        </w:rPr>
        <w:t xml:space="preserve">Low Survival Rates </w:t>
      </w:r>
      <w:r w:rsidR="00171021" w:rsidRPr="008B5AB2">
        <w:rPr>
          <w:rFonts w:asciiTheme="majorBidi" w:hAnsiTheme="majorBidi"/>
          <w:i/>
          <w:iCs/>
          <w:color w:val="4472C4" w:themeColor="accent1"/>
          <w:sz w:val="24"/>
          <w:szCs w:val="24"/>
        </w:rPr>
        <w:t>of</w:t>
      </w:r>
      <w:r w:rsidRPr="008B5AB2">
        <w:rPr>
          <w:rFonts w:asciiTheme="majorBidi" w:hAnsiTheme="majorBidi"/>
          <w:i/>
          <w:iCs/>
          <w:color w:val="4472C4" w:themeColor="accent1"/>
          <w:sz w:val="24"/>
          <w:szCs w:val="24"/>
        </w:rPr>
        <w:t xml:space="preserve"> Probiotics</w:t>
      </w:r>
    </w:p>
    <w:p w14:paraId="4E20D61B" w14:textId="12CFACC1" w:rsidR="00F16156" w:rsidRDefault="00171021" w:rsidP="009A0C39">
      <w:pPr>
        <w:spacing w:line="276" w:lineRule="auto"/>
        <w:jc w:val="both"/>
        <w:rPr>
          <w:rFonts w:asciiTheme="majorBidi" w:hAnsiTheme="majorBidi" w:cstheme="majorBidi"/>
          <w:color w:val="000000" w:themeColor="text1"/>
        </w:rPr>
      </w:pPr>
      <w:r w:rsidRPr="00856ECB">
        <w:rPr>
          <w:rFonts w:asciiTheme="majorBidi" w:hAnsiTheme="majorBidi" w:cstheme="majorBidi"/>
        </w:rPr>
        <w:t xml:space="preserve">Typical daily probiotic intake ranges between 10⁷ to 10⁹ CFU/mg </w:t>
      </w:r>
      <w:r w:rsidR="00BB64F9" w:rsidRPr="00856ECB">
        <w:rPr>
          <w:rFonts w:asciiTheme="majorBidi" w:hAnsiTheme="majorBidi" w:cstheme="majorBidi"/>
        </w:rPr>
        <w:fldChar w:fldCharType="begin"/>
      </w:r>
      <w:r w:rsidR="008B543B">
        <w:rPr>
          <w:rFonts w:asciiTheme="majorBidi" w:hAnsiTheme="majorBidi" w:cstheme="majorBidi"/>
        </w:rPr>
        <w:instrText xml:space="preserve"> ADDIN EN.CITE &lt;EndNote&gt;&lt;Cite&gt;&lt;Author&gt;Ranjha&lt;/Author&gt;&lt;Year&gt;2021&lt;/Year&gt;&lt;RecNum&gt;224&lt;/RecNum&gt;&lt;DisplayText&gt;(63)&lt;/DisplayText&gt;&lt;record&gt;&lt;rec-number&gt;224&lt;/rec-number&gt;&lt;foreign-keys&gt;&lt;key app="EN" db-id="exwvr9fd40te9ner0f4ptrrorttf9svzawdd" timestamp="1751699402"&gt;224&lt;/key&gt;&lt;/foreign-keys&gt;&lt;ref-type name="Journal Article"&gt;17&lt;/ref-type&gt;&lt;contributors&gt;&lt;authors&gt;&lt;author&gt;Ranjha, Muhammad Modassar Ali Nawaz&lt;/author&gt;&lt;author&gt;Shafique, Bakhtawar&lt;/author&gt;&lt;author&gt;Batool, Maria&lt;/author&gt;&lt;author&gt;Kowalczewski, Przemysław Łukasz&lt;/author&gt;&lt;author&gt;Shehzad, Qayyum&lt;/author&gt;&lt;author&gt;Usman, Muhammad&lt;/author&gt;&lt;author&gt;Manzoor, Muhammad Faisal&lt;/author&gt;&lt;author&gt;Zahra, Syeda Mahvish&lt;/author&gt;&lt;author&gt;Yaqub, Shazia&lt;/author&gt;&lt;author&gt;Aadil, Rana Muhammad&lt;/author&gt;&lt;/authors&gt;&lt;/contributors&gt;&lt;titles&gt;&lt;title&gt;Nutritional and health potential of probiotics: a review&lt;/title&gt;&lt;secondary-title&gt;Applied Sciences&lt;/secondary-title&gt;&lt;/titles&gt;&lt;periodical&gt;&lt;full-title&gt;Applied Sciences&lt;/full-title&gt;&lt;/periodical&gt;&lt;pages&gt;11204&lt;/pages&gt;&lt;volume&gt;11&lt;/volume&gt;&lt;number&gt;23&lt;/number&gt;&lt;dates&gt;&lt;year&gt;2021&lt;/year&gt;&lt;/dates&gt;&lt;isbn&gt;2076-3417&lt;/isbn&gt;&lt;urls&gt;&lt;/urls&gt;&lt;/record&gt;&lt;/Cite&gt;&lt;/EndNote&gt;</w:instrText>
      </w:r>
      <w:r w:rsidR="00BB64F9" w:rsidRPr="00856ECB">
        <w:rPr>
          <w:rFonts w:asciiTheme="majorBidi" w:hAnsiTheme="majorBidi" w:cstheme="majorBidi"/>
        </w:rPr>
        <w:fldChar w:fldCharType="separate"/>
      </w:r>
      <w:r w:rsidR="008B543B">
        <w:rPr>
          <w:rFonts w:asciiTheme="majorBidi" w:hAnsiTheme="majorBidi" w:cstheme="majorBidi"/>
          <w:noProof/>
        </w:rPr>
        <w:t>(63)</w:t>
      </w:r>
      <w:r w:rsidR="00BB64F9" w:rsidRPr="00856ECB">
        <w:rPr>
          <w:rFonts w:asciiTheme="majorBidi" w:hAnsiTheme="majorBidi" w:cstheme="majorBidi"/>
        </w:rPr>
        <w:fldChar w:fldCharType="end"/>
      </w:r>
      <w:r w:rsidR="00BB64F9" w:rsidRPr="00856ECB">
        <w:rPr>
          <w:rFonts w:asciiTheme="majorBidi" w:hAnsiTheme="majorBidi" w:cstheme="majorBidi"/>
        </w:rPr>
        <w:t xml:space="preserve">. </w:t>
      </w:r>
      <w:r w:rsidRPr="00856ECB">
        <w:rPr>
          <w:rFonts w:asciiTheme="majorBidi" w:hAnsiTheme="majorBidi" w:cstheme="majorBidi"/>
        </w:rPr>
        <w:t xml:space="preserve">However, the viability of probiotics is significantly compromised by the harsh conditions of the gastrointestinal (GI) tract, including exposure to gastric acid, bile salts, and digestive enzymes </w:t>
      </w:r>
      <w:r w:rsidR="00BB64F9" w:rsidRPr="00856ECB">
        <w:rPr>
          <w:rFonts w:asciiTheme="majorBidi" w:hAnsiTheme="majorBidi" w:cstheme="majorBidi"/>
        </w:rPr>
        <w:fldChar w:fldCharType="begin"/>
      </w:r>
      <w:r w:rsidR="008B543B">
        <w:rPr>
          <w:rFonts w:asciiTheme="majorBidi" w:hAnsiTheme="majorBidi" w:cstheme="majorBidi"/>
        </w:rPr>
        <w:instrText xml:space="preserve"> ADDIN EN.CITE &lt;EndNote&gt;&lt;Cite&gt;&lt;Author&gt;Garcia-Brand&lt;/Author&gt;&lt;Year&gt;2022&lt;/Year&gt;&lt;RecNum&gt;226&lt;/RecNum&gt;&lt;DisplayText&gt;(64)&lt;/DisplayText&gt;&lt;record&gt;&lt;rec-number&gt;226&lt;/rec-number&gt;&lt;foreign-keys&gt;&lt;key app="EN" db-id="exwvr9fd40te9ner0f4ptrrorttf9svzawdd" timestamp="1751699488"&gt;226&lt;/key&gt;&lt;/foreign-keys&gt;&lt;ref-type name="Journal Article"&gt;17&lt;/ref-type&gt;&lt;contributors&gt;&lt;authors&gt;&lt;author&gt;Garcia-Brand, Andres J&lt;/author&gt;&lt;author&gt;Quezada, Valentina&lt;/author&gt;&lt;author&gt;Gonzalez-Melo, Cristina&lt;/author&gt;&lt;author&gt;Bolaños-Barbosa, Angie D&lt;/author&gt;&lt;author&gt;Cruz, Juan C&lt;/author&gt;&lt;author&gt;Reyes, Luis H&lt;/author&gt;&lt;/authors&gt;&lt;/contributors&gt;&lt;titles&gt;&lt;title&gt;Novel developments on stimuli-responsive probiotic encapsulates: from smart hydrogels to nanostructured platforms&lt;/title&gt;&lt;secondary-title&gt;Fermentation&lt;/secondary-title&gt;&lt;/titles&gt;&lt;periodical&gt;&lt;full-title&gt;Fermentation&lt;/full-title&gt;&lt;/periodical&gt;&lt;pages&gt;117&lt;/pages&gt;&lt;volume&gt;8&lt;/volume&gt;&lt;number&gt;3&lt;/number&gt;&lt;dates&gt;&lt;year&gt;2022&lt;/year&gt;&lt;/dates&gt;&lt;isbn&gt;2311-5637&lt;/isbn&gt;&lt;urls&gt;&lt;/urls&gt;&lt;/record&gt;&lt;/Cite&gt;&lt;/EndNote&gt;</w:instrText>
      </w:r>
      <w:r w:rsidR="00BB64F9" w:rsidRPr="00856ECB">
        <w:rPr>
          <w:rFonts w:asciiTheme="majorBidi" w:hAnsiTheme="majorBidi" w:cstheme="majorBidi"/>
        </w:rPr>
        <w:fldChar w:fldCharType="separate"/>
      </w:r>
      <w:r w:rsidR="008B543B">
        <w:rPr>
          <w:rFonts w:asciiTheme="majorBidi" w:hAnsiTheme="majorBidi" w:cstheme="majorBidi"/>
          <w:noProof/>
        </w:rPr>
        <w:t>(64)</w:t>
      </w:r>
      <w:r w:rsidR="00BB64F9" w:rsidRPr="00856ECB">
        <w:rPr>
          <w:rFonts w:asciiTheme="majorBidi" w:hAnsiTheme="majorBidi" w:cstheme="majorBidi"/>
        </w:rPr>
        <w:fldChar w:fldCharType="end"/>
      </w:r>
      <w:r w:rsidR="00BB64F9" w:rsidRPr="00856ECB">
        <w:rPr>
          <w:rFonts w:asciiTheme="majorBidi" w:hAnsiTheme="majorBidi" w:cstheme="majorBidi"/>
        </w:rPr>
        <w:t xml:space="preserve">. </w:t>
      </w:r>
      <w:r w:rsidRPr="00856ECB">
        <w:rPr>
          <w:rFonts w:asciiTheme="majorBidi" w:hAnsiTheme="majorBidi" w:cstheme="majorBidi"/>
        </w:rPr>
        <w:t>These factors contribute to survival rates as low as 7% to 30% during passage through the GI system</w:t>
      </w:r>
      <w:r w:rsidR="00BB64F9" w:rsidRPr="00856ECB">
        <w:rPr>
          <w:rFonts w:asciiTheme="majorBidi" w:hAnsiTheme="majorBidi" w:cstheme="majorBidi"/>
        </w:rPr>
        <w:t xml:space="preserve"> </w:t>
      </w:r>
      <w:r w:rsidR="00BB64F9" w:rsidRPr="00856ECB">
        <w:rPr>
          <w:rFonts w:asciiTheme="majorBidi" w:hAnsiTheme="majorBidi" w:cstheme="majorBidi"/>
        </w:rPr>
        <w:fldChar w:fldCharType="begin"/>
      </w:r>
      <w:r w:rsidR="008B543B">
        <w:rPr>
          <w:rFonts w:asciiTheme="majorBidi" w:hAnsiTheme="majorBidi" w:cstheme="majorBidi"/>
        </w:rPr>
        <w:instrText xml:space="preserve"> ADDIN EN.CITE &lt;EndNote&gt;&lt;Cite&gt;&lt;Author&gt;Yoha&lt;/Author&gt;&lt;Year&gt;2022&lt;/Year&gt;&lt;RecNum&gt;228&lt;/RecNum&gt;&lt;DisplayText&gt;(65)&lt;/DisplayText&gt;&lt;record&gt;&lt;rec-number&gt;228&lt;/rec-number&gt;&lt;foreign-keys&gt;&lt;key app="EN" db-id="exwvr9fd40te9ner0f4ptrrorttf9svzawdd" timestamp="1751699710"&gt;228&lt;/key&gt;&lt;/foreign-keys&gt;&lt;ref-type name="Journal Article"&gt;17&lt;/ref-type&gt;&lt;contributors&gt;&lt;authors&gt;&lt;author&gt;Yoha, KS&lt;/author&gt;&lt;author&gt;Nida, Sundus&lt;/author&gt;&lt;author&gt;Dutta, Sayantani&lt;/author&gt;&lt;author&gt;Moses, JA&lt;/author&gt;&lt;author&gt;Anandharamakrishnan, C&lt;/author&gt;&lt;/authors&gt;&lt;/contributors&gt;&lt;titles&gt;&lt;title&gt;Targeted delivery of probiotics: perspectives on research and commercialization&lt;/title&gt;&lt;secondary-title&gt;Probiotics and Antimicrobial Proteins&lt;/secondary-title&gt;&lt;/titles&gt;&lt;periodical&gt;&lt;full-title&gt;Probiotics and Antimicrobial Proteins&lt;/full-title&gt;&lt;/periodical&gt;&lt;pages&gt;1-34&lt;/pages&gt;&lt;dates&gt;&lt;year&gt;2022&lt;/year&gt;&lt;/dates&gt;&lt;isbn&gt;1867-1306&lt;/isbn&gt;&lt;urls&gt;&lt;/urls&gt;&lt;/record&gt;&lt;/Cite&gt;&lt;/EndNote&gt;</w:instrText>
      </w:r>
      <w:r w:rsidR="00BB64F9" w:rsidRPr="00856ECB">
        <w:rPr>
          <w:rFonts w:asciiTheme="majorBidi" w:hAnsiTheme="majorBidi" w:cstheme="majorBidi"/>
        </w:rPr>
        <w:fldChar w:fldCharType="separate"/>
      </w:r>
      <w:r w:rsidR="008B543B">
        <w:rPr>
          <w:rFonts w:asciiTheme="majorBidi" w:hAnsiTheme="majorBidi" w:cstheme="majorBidi"/>
          <w:noProof/>
        </w:rPr>
        <w:t>(65)</w:t>
      </w:r>
      <w:r w:rsidR="00BB64F9" w:rsidRPr="00856ECB">
        <w:rPr>
          <w:rFonts w:asciiTheme="majorBidi" w:hAnsiTheme="majorBidi" w:cstheme="majorBidi"/>
        </w:rPr>
        <w:fldChar w:fldCharType="end"/>
      </w:r>
      <w:r w:rsidR="00BB64F9" w:rsidRPr="00856ECB">
        <w:rPr>
          <w:rFonts w:asciiTheme="majorBidi" w:hAnsiTheme="majorBidi" w:cstheme="majorBidi"/>
        </w:rPr>
        <w:t>.</w:t>
      </w:r>
      <w:r w:rsidR="0070341D" w:rsidRPr="00856ECB">
        <w:rPr>
          <w:rFonts w:asciiTheme="majorBidi" w:hAnsiTheme="majorBidi" w:cstheme="majorBidi"/>
        </w:rPr>
        <w:t xml:space="preserve"> </w:t>
      </w:r>
      <w:r w:rsidRPr="00856ECB">
        <w:rPr>
          <w:rFonts w:asciiTheme="majorBidi" w:hAnsiTheme="majorBidi" w:cstheme="majorBidi"/>
        </w:rPr>
        <w:t xml:space="preserve">To address this, advanced encapsulation technologies have been developed to enhance probiotic stability. Techniques such as covalent conjugation, non-covalent adsorption, and substrate encapsulation help protect bacterial cells from oxidative stress and enable controlled release at specific GI sites. Recent innovations in encapsulation materials include the use of food-grade </w:t>
      </w:r>
      <w:r w:rsidRPr="00856ECB">
        <w:rPr>
          <w:rFonts w:asciiTheme="majorBidi" w:hAnsiTheme="majorBidi" w:cstheme="majorBidi"/>
        </w:rPr>
        <w:lastRenderedPageBreak/>
        <w:t xml:space="preserve">biopolymers like polysaccharides and proteins, as well as novel substances such as amino acids, polyphenol complexes, and </w:t>
      </w:r>
      <w:proofErr w:type="spellStart"/>
      <w:r w:rsidRPr="00856ECB">
        <w:rPr>
          <w:rFonts w:asciiTheme="majorBidi" w:hAnsiTheme="majorBidi" w:cstheme="majorBidi"/>
        </w:rPr>
        <w:t>Eudragit</w:t>
      </w:r>
      <w:proofErr w:type="spellEnd"/>
      <w:r w:rsidR="00452DAA" w:rsidRPr="00856ECB">
        <w:rPr>
          <w:rStyle w:val="FootnoteReference"/>
          <w:rFonts w:asciiTheme="majorBidi" w:hAnsiTheme="majorBidi" w:cstheme="majorBidi"/>
        </w:rPr>
        <w:footnoteReference w:id="8"/>
      </w:r>
      <w:r w:rsidRPr="00856ECB">
        <w:rPr>
          <w:rFonts w:asciiTheme="majorBidi" w:hAnsiTheme="majorBidi" w:cstheme="majorBidi"/>
        </w:rPr>
        <w:t xml:space="preserve"> polymers. For instance, </w:t>
      </w:r>
      <w:proofErr w:type="spellStart"/>
      <w:r w:rsidRPr="00856ECB">
        <w:rPr>
          <w:rFonts w:asciiTheme="majorBidi" w:hAnsiTheme="majorBidi" w:cstheme="majorBidi"/>
        </w:rPr>
        <w:t>Eudragit</w:t>
      </w:r>
      <w:proofErr w:type="spellEnd"/>
      <w:r w:rsidRPr="00856ECB">
        <w:rPr>
          <w:rFonts w:asciiTheme="majorBidi" w:hAnsiTheme="majorBidi" w:cstheme="majorBidi"/>
        </w:rPr>
        <w:t xml:space="preserve"> L100-55, a pH-sensitive polymer, dissolves at intestinal pH levels above 5.5 and significantly improves targeted delivery and survival of probiotics </w:t>
      </w:r>
      <w:r w:rsidR="00660BFC" w:rsidRPr="00856ECB">
        <w:rPr>
          <w:rFonts w:asciiTheme="majorBidi" w:hAnsiTheme="majorBidi" w:cstheme="majorBidi"/>
        </w:rPr>
        <w:fldChar w:fldCharType="begin"/>
      </w:r>
      <w:r w:rsidR="008B543B">
        <w:rPr>
          <w:rFonts w:asciiTheme="majorBidi" w:hAnsiTheme="majorBidi" w:cstheme="majorBidi"/>
        </w:rPr>
        <w:instrText xml:space="preserve"> ADDIN EN.CITE &lt;EndNote&gt;&lt;Cite&gt;&lt;Author&gt;Garcia-Brand&lt;/Author&gt;&lt;Year&gt;2022&lt;/Year&gt;&lt;RecNum&gt;226&lt;/RecNum&gt;&lt;DisplayText&gt;(64)&lt;/DisplayText&gt;&lt;record&gt;&lt;rec-number&gt;226&lt;/rec-number&gt;&lt;foreign-keys&gt;&lt;key app="EN" db-id="exwvr9fd40te9ner0f4ptrrorttf9svzawdd" timestamp="1751699488"&gt;226&lt;/key&gt;&lt;/foreign-keys&gt;&lt;ref-type name="Journal Article"&gt;17&lt;/ref-type&gt;&lt;contributors&gt;&lt;authors&gt;&lt;author&gt;Garcia-Brand, Andres J&lt;/author&gt;&lt;author&gt;Quezada, Valentina&lt;/author&gt;&lt;author&gt;Gonzalez-Melo, Cristina&lt;/author&gt;&lt;author&gt;Bolaños-Barbosa, Angie D&lt;/author&gt;&lt;author&gt;Cruz, Juan C&lt;/author&gt;&lt;author&gt;Reyes, Luis H&lt;/author&gt;&lt;/authors&gt;&lt;/contributors&gt;&lt;titles&gt;&lt;title&gt;Novel developments on stimuli-responsive probiotic encapsulates: from smart hydrogels to nanostructured platforms&lt;/title&gt;&lt;secondary-title&gt;Fermentation&lt;/secondary-title&gt;&lt;/titles&gt;&lt;periodical&gt;&lt;full-title&gt;Fermentation&lt;/full-title&gt;&lt;/periodical&gt;&lt;pages&gt;117&lt;/pages&gt;&lt;volume&gt;8&lt;/volume&gt;&lt;number&gt;3&lt;/number&gt;&lt;dates&gt;&lt;year&gt;2022&lt;/year&gt;&lt;/dates&gt;&lt;isbn&gt;2311-5637&lt;/isbn&gt;&lt;urls&gt;&lt;/urls&gt;&lt;/record&gt;&lt;/Cite&gt;&lt;/EndNote&gt;</w:instrText>
      </w:r>
      <w:r w:rsidR="00660BFC" w:rsidRPr="00856ECB">
        <w:rPr>
          <w:rFonts w:asciiTheme="majorBidi" w:hAnsiTheme="majorBidi" w:cstheme="majorBidi"/>
        </w:rPr>
        <w:fldChar w:fldCharType="separate"/>
      </w:r>
      <w:r w:rsidR="008B543B">
        <w:rPr>
          <w:rFonts w:asciiTheme="majorBidi" w:hAnsiTheme="majorBidi" w:cstheme="majorBidi"/>
          <w:noProof/>
        </w:rPr>
        <w:t>(64)</w:t>
      </w:r>
      <w:r w:rsidR="00660BFC" w:rsidRPr="00856ECB">
        <w:rPr>
          <w:rFonts w:asciiTheme="majorBidi" w:hAnsiTheme="majorBidi" w:cstheme="majorBidi"/>
        </w:rPr>
        <w:fldChar w:fldCharType="end"/>
      </w:r>
      <w:r w:rsidR="00660BFC" w:rsidRPr="00856ECB">
        <w:rPr>
          <w:rFonts w:asciiTheme="majorBidi" w:hAnsiTheme="majorBidi" w:cstheme="majorBidi"/>
        </w:rPr>
        <w:t>.</w:t>
      </w:r>
      <w:r w:rsidR="001A1603" w:rsidRPr="00856ECB">
        <w:rPr>
          <w:rFonts w:asciiTheme="majorBidi" w:hAnsiTheme="majorBidi" w:cstheme="majorBidi"/>
        </w:rPr>
        <w:t xml:space="preserve"> </w:t>
      </w:r>
      <w:r w:rsidRPr="00856ECB">
        <w:rPr>
          <w:rFonts w:asciiTheme="majorBidi" w:hAnsiTheme="majorBidi" w:cstheme="majorBidi"/>
        </w:rPr>
        <w:t xml:space="preserve">Additionally, research has shown that probiotic strains such as </w:t>
      </w:r>
      <w:r w:rsidRPr="00856ECB">
        <w:rPr>
          <w:rFonts w:asciiTheme="majorBidi" w:hAnsiTheme="majorBidi" w:cstheme="majorBidi"/>
          <w:i/>
          <w:iCs/>
        </w:rPr>
        <w:t xml:space="preserve">Lactobacillus acidophilus CCM 4833, </w:t>
      </w:r>
      <w:proofErr w:type="spellStart"/>
      <w:r w:rsidRPr="00856ECB">
        <w:rPr>
          <w:rFonts w:asciiTheme="majorBidi" w:hAnsiTheme="majorBidi" w:cstheme="majorBidi"/>
          <w:i/>
          <w:iCs/>
        </w:rPr>
        <w:t>Bifidobacterium</w:t>
      </w:r>
      <w:proofErr w:type="spellEnd"/>
      <w:r w:rsidRPr="00856ECB">
        <w:rPr>
          <w:rFonts w:asciiTheme="majorBidi" w:hAnsiTheme="majorBidi" w:cstheme="majorBidi"/>
          <w:i/>
          <w:iCs/>
        </w:rPr>
        <w:t xml:space="preserve"> </w:t>
      </w:r>
      <w:proofErr w:type="spellStart"/>
      <w:r w:rsidRPr="00856ECB">
        <w:rPr>
          <w:rFonts w:asciiTheme="majorBidi" w:hAnsiTheme="majorBidi" w:cstheme="majorBidi"/>
          <w:i/>
          <w:iCs/>
        </w:rPr>
        <w:t>longum</w:t>
      </w:r>
      <w:proofErr w:type="spellEnd"/>
      <w:r w:rsidRPr="00856ECB">
        <w:rPr>
          <w:rFonts w:asciiTheme="majorBidi" w:hAnsiTheme="majorBidi" w:cstheme="majorBidi"/>
          <w:i/>
          <w:iCs/>
        </w:rPr>
        <w:t xml:space="preserve"> CCM 4990, B. </w:t>
      </w:r>
      <w:proofErr w:type="spellStart"/>
      <w:r w:rsidRPr="00856ECB">
        <w:rPr>
          <w:rFonts w:asciiTheme="majorBidi" w:hAnsiTheme="majorBidi" w:cstheme="majorBidi"/>
          <w:i/>
          <w:iCs/>
        </w:rPr>
        <w:t>breve</w:t>
      </w:r>
      <w:proofErr w:type="spellEnd"/>
      <w:r w:rsidRPr="00856ECB">
        <w:rPr>
          <w:rFonts w:asciiTheme="majorBidi" w:hAnsiTheme="majorBidi" w:cstheme="majorBidi"/>
          <w:i/>
          <w:iCs/>
        </w:rPr>
        <w:t xml:space="preserve"> CCM 3763, L. </w:t>
      </w:r>
      <w:proofErr w:type="spellStart"/>
      <w:r w:rsidRPr="00856ECB">
        <w:rPr>
          <w:rFonts w:asciiTheme="majorBidi" w:hAnsiTheme="majorBidi" w:cstheme="majorBidi"/>
          <w:i/>
          <w:iCs/>
        </w:rPr>
        <w:t>reuteri</w:t>
      </w:r>
      <w:proofErr w:type="spellEnd"/>
      <w:r w:rsidRPr="00856ECB">
        <w:rPr>
          <w:rFonts w:asciiTheme="majorBidi" w:hAnsiTheme="majorBidi" w:cstheme="majorBidi"/>
          <w:i/>
          <w:iCs/>
        </w:rPr>
        <w:t xml:space="preserve"> HFI-LD5, </w:t>
      </w:r>
      <w:r w:rsidRPr="00856ECB">
        <w:rPr>
          <w:rFonts w:asciiTheme="majorBidi" w:hAnsiTheme="majorBidi" w:cstheme="majorBidi"/>
        </w:rPr>
        <w:t>and</w:t>
      </w:r>
      <w:r w:rsidRPr="00856ECB">
        <w:rPr>
          <w:rFonts w:asciiTheme="majorBidi" w:hAnsiTheme="majorBidi" w:cstheme="majorBidi"/>
          <w:i/>
          <w:iCs/>
        </w:rPr>
        <w:t xml:space="preserve"> L. </w:t>
      </w:r>
      <w:proofErr w:type="spellStart"/>
      <w:r w:rsidRPr="00856ECB">
        <w:rPr>
          <w:rFonts w:asciiTheme="majorBidi" w:hAnsiTheme="majorBidi" w:cstheme="majorBidi"/>
          <w:i/>
          <w:iCs/>
        </w:rPr>
        <w:t>rhamnosus</w:t>
      </w:r>
      <w:proofErr w:type="spellEnd"/>
      <w:r w:rsidRPr="00856ECB">
        <w:rPr>
          <w:rFonts w:asciiTheme="majorBidi" w:hAnsiTheme="majorBidi" w:cstheme="majorBidi"/>
          <w:i/>
          <w:iCs/>
        </w:rPr>
        <w:t xml:space="preserve"> HFI-K </w:t>
      </w:r>
      <w:r w:rsidRPr="00856ECB">
        <w:rPr>
          <w:rFonts w:asciiTheme="majorBidi" w:hAnsiTheme="majorBidi" w:cstheme="majorBidi"/>
        </w:rPr>
        <w:t xml:space="preserve">demonstrate markedly higher survivability when administered as biofilms rather than planktonic forms. Biofilm structures offer enhanced protection in both acidic stomach environments and alkaline conditions of the proximal small intestine </w:t>
      </w:r>
      <w:r w:rsidRPr="00856ECB">
        <w:rPr>
          <w:rFonts w:asciiTheme="majorBidi" w:hAnsiTheme="majorBidi" w:cstheme="majorBidi"/>
        </w:rPr>
        <w:fldChar w:fldCharType="begin"/>
      </w:r>
      <w:r w:rsidR="008B543B">
        <w:rPr>
          <w:rFonts w:asciiTheme="majorBidi" w:hAnsiTheme="majorBidi" w:cstheme="majorBidi"/>
        </w:rPr>
        <w:instrText xml:space="preserve"> ADDIN EN.CITE &lt;EndNote&gt;&lt;Cite&gt;&lt;Author&gt;Grossova&lt;/Author&gt;&lt;Year&gt;2017&lt;/Year&gt;&lt;RecNum&gt;233&lt;/RecNum&gt;&lt;DisplayText&gt;(66, 67)&lt;/DisplayText&gt;&lt;record&gt;&lt;rec-number&gt;233&lt;/rec-number&gt;&lt;foreign-keys&gt;&lt;key app="EN" db-id="exwvr9fd40te9ner0f4ptrrorttf9svzawdd" timestamp="1751700110"&gt;233&lt;/key&gt;&lt;/foreign-keys&gt;&lt;ref-type name="Journal Article"&gt;17&lt;/ref-type&gt;&lt;contributors&gt;&lt;authors&gt;&lt;author&gt;Grossova, M&lt;/author&gt;&lt;author&gt;Rysavka, P&lt;/author&gt;&lt;author&gt;Marova, I&lt;/author&gt;&lt;/authors&gt;&lt;/contributors&gt;&lt;titles&gt;&lt;title&gt;Probiotic biofilm on carrier surface: A novel promising application for food industry&lt;/title&gt;&lt;secondary-title&gt;Acta Alimentaria&lt;/secondary-title&gt;&lt;/titles&gt;&lt;periodical&gt;&lt;full-title&gt;Acta Alimentaria&lt;/full-title&gt;&lt;/periodical&gt;&lt;pages&gt;439-448&lt;/pages&gt;&lt;volume&gt;46&lt;/volume&gt;&lt;number&gt;4&lt;/number&gt;&lt;dates&gt;&lt;year&gt;2017&lt;/year&gt;&lt;/dates&gt;&lt;isbn&gt;0139-3006&lt;/isbn&gt;&lt;urls&gt;&lt;/urls&gt;&lt;/record&gt;&lt;/Cite&gt;&lt;Cite&gt;&lt;Author&gt;Klopper&lt;/Author&gt;&lt;Year&gt;2019&lt;/Year&gt;&lt;RecNum&gt;234&lt;/RecNum&gt;&lt;record&gt;&lt;rec-number&gt;234&lt;/rec-number&gt;&lt;foreign-keys&gt;&lt;key app="EN" db-id="exwvr9fd40te9ner0f4ptrrorttf9svzawdd" timestamp="1751700141"&gt;234&lt;/key&gt;&lt;/foreign-keys&gt;&lt;ref-type name="Journal Article"&gt;17&lt;/ref-type&gt;&lt;contributors&gt;&lt;authors&gt;&lt;author&gt;Klopper, Kyle B&lt;/author&gt;&lt;author&gt;Bester, Elanna&lt;/author&gt;&lt;author&gt;Deane, Shelly M&lt;/author&gt;&lt;author&gt;Wolfaardt, Gideon M&lt;/author&gt;&lt;author&gt;Dicks, Leon MT&lt;/author&gt;&lt;/authors&gt;&lt;/contributors&gt;&lt;titles&gt;&lt;title&gt;Survival of planktonic and sessile cells of lactobacillus rhamnosus and lactobacillus reuteri upon exposure to simulated fasting-state gastrointestinal conditions&lt;/title&gt;&lt;secondary-title&gt;Probiotics and Antimicrobial Proteins&lt;/secondary-title&gt;&lt;/titles&gt;&lt;periodical&gt;&lt;full-title&gt;Probiotics and Antimicrobial Proteins&lt;/full-title&gt;&lt;/periodical&gt;&lt;pages&gt;594-603&lt;/pages&gt;&lt;volume&gt;11&lt;/volume&gt;&lt;dates&gt;&lt;year&gt;2019&lt;/year&gt;&lt;/dates&gt;&lt;isbn&gt;1867-1306&lt;/isbn&gt;&lt;urls&gt;&lt;/urls&gt;&lt;/record&gt;&lt;/Cite&gt;&lt;/EndNote&gt;</w:instrText>
      </w:r>
      <w:r w:rsidRPr="00856ECB">
        <w:rPr>
          <w:rFonts w:asciiTheme="majorBidi" w:hAnsiTheme="majorBidi" w:cstheme="majorBidi"/>
        </w:rPr>
        <w:fldChar w:fldCharType="separate"/>
      </w:r>
      <w:r w:rsidR="008B543B">
        <w:rPr>
          <w:rFonts w:asciiTheme="majorBidi" w:hAnsiTheme="majorBidi" w:cstheme="majorBidi"/>
          <w:noProof/>
        </w:rPr>
        <w:t>(66, 67)</w:t>
      </w:r>
      <w:r w:rsidRPr="00856ECB">
        <w:rPr>
          <w:rFonts w:asciiTheme="majorBidi" w:hAnsiTheme="majorBidi" w:cstheme="majorBidi"/>
        </w:rPr>
        <w:fldChar w:fldCharType="end"/>
      </w:r>
      <w:r w:rsidRPr="00856ECB">
        <w:rPr>
          <w:rFonts w:asciiTheme="majorBidi" w:hAnsiTheme="majorBidi" w:cstheme="majorBidi"/>
        </w:rPr>
        <w:t xml:space="preserve">. </w:t>
      </w:r>
      <w:r w:rsidRPr="00856ECB">
        <w:rPr>
          <w:rFonts w:asciiTheme="majorBidi" w:hAnsiTheme="majorBidi" w:cstheme="majorBidi"/>
          <w:color w:val="000000" w:themeColor="text1"/>
        </w:rPr>
        <w:t xml:space="preserve">Moreover, </w:t>
      </w:r>
      <w:r w:rsidRPr="00856ECB">
        <w:rPr>
          <w:rFonts w:asciiTheme="majorBidi" w:hAnsiTheme="majorBidi" w:cstheme="majorBidi"/>
          <w:i/>
          <w:iCs/>
          <w:color w:val="000000" w:themeColor="text1"/>
        </w:rPr>
        <w:t xml:space="preserve">Bacillus </w:t>
      </w:r>
      <w:proofErr w:type="spellStart"/>
      <w:r w:rsidRPr="00856ECB">
        <w:rPr>
          <w:rFonts w:asciiTheme="majorBidi" w:hAnsiTheme="majorBidi" w:cstheme="majorBidi"/>
          <w:i/>
          <w:iCs/>
          <w:color w:val="000000" w:themeColor="text1"/>
        </w:rPr>
        <w:t>subtilis</w:t>
      </w:r>
      <w:proofErr w:type="spellEnd"/>
      <w:r w:rsidRPr="00856ECB">
        <w:rPr>
          <w:rFonts w:asciiTheme="majorBidi" w:hAnsiTheme="majorBidi" w:cstheme="majorBidi"/>
          <w:i/>
          <w:iCs/>
          <w:color w:val="000000" w:themeColor="text1"/>
        </w:rPr>
        <w:t xml:space="preserve"> NCIB3610</w:t>
      </w:r>
      <w:r w:rsidRPr="00856ECB">
        <w:rPr>
          <w:rFonts w:asciiTheme="majorBidi" w:hAnsiTheme="majorBidi" w:cstheme="majorBidi"/>
          <w:color w:val="000000" w:themeColor="text1"/>
        </w:rPr>
        <w:t xml:space="preserve"> has been found to facilitate biofilm formation, thereby providing a protective niche for co-administered probiotics such as Lactobacillus </w:t>
      </w:r>
      <w:proofErr w:type="spellStart"/>
      <w:r w:rsidRPr="00856ECB">
        <w:rPr>
          <w:rFonts w:asciiTheme="majorBidi" w:hAnsiTheme="majorBidi" w:cstheme="majorBidi"/>
          <w:color w:val="000000" w:themeColor="text1"/>
        </w:rPr>
        <w:t>plantarum</w:t>
      </w:r>
      <w:proofErr w:type="spellEnd"/>
      <w:r w:rsidR="00430919" w:rsidRPr="00856ECB">
        <w:rPr>
          <w:rFonts w:asciiTheme="majorBidi" w:hAnsiTheme="majorBidi" w:cstheme="majorBidi"/>
          <w:color w:val="000000" w:themeColor="text1"/>
        </w:rPr>
        <w:t xml:space="preserve"> </w:t>
      </w:r>
      <w:r w:rsidR="00430919" w:rsidRPr="00856ECB">
        <w:rPr>
          <w:rFonts w:asciiTheme="majorBidi" w:hAnsiTheme="majorBidi" w:cstheme="majorBidi"/>
          <w:color w:val="000000" w:themeColor="text1"/>
        </w:rPr>
        <w:fldChar w:fldCharType="begin"/>
      </w:r>
      <w:r w:rsidR="008B543B">
        <w:rPr>
          <w:rFonts w:asciiTheme="majorBidi" w:hAnsiTheme="majorBidi" w:cstheme="majorBidi"/>
          <w:color w:val="000000" w:themeColor="text1"/>
        </w:rPr>
        <w:instrText xml:space="preserve"> ADDIN EN.CITE &lt;EndNote&gt;&lt;Cite&gt;&lt;Author&gt;Yahav&lt;/Author&gt;&lt;Year&gt;2018&lt;/Year&gt;&lt;RecNum&gt;235&lt;/RecNum&gt;&lt;DisplayText&gt;(68)&lt;/DisplayText&gt;&lt;record&gt;&lt;rec-number&gt;235&lt;/rec-number&gt;&lt;foreign-keys&gt;&lt;key app="EN" db-id="exwvr9fd40te9ner0f4ptrrorttf9svzawdd" timestamp="1751700171"&gt;235&lt;/key&gt;&lt;/foreign-keys&gt;&lt;ref-type name="Journal Article"&gt;17&lt;/ref-type&gt;&lt;contributors&gt;&lt;authors&gt;&lt;author&gt;Yahav, Sagit&lt;/author&gt;&lt;author&gt;Berkovich, Zipi&lt;/author&gt;&lt;author&gt;Ostrov, Ievgeniia&lt;/author&gt;&lt;author&gt;Reifen, Ram&lt;/author&gt;&lt;author&gt;Shemesh, Moshe&lt;/author&gt;&lt;/authors&gt;&lt;/contributors&gt;&lt;titles&gt;&lt;title&gt;Encapsulation of beneficial probiotic bacteria in extracellular matrix from biofilm-forming Bacillus subtilis&lt;/title&gt;&lt;secondary-title&gt;Artificial Cells, Nanomedicine, and Biotechnology&lt;/secondary-title&gt;&lt;/titles&gt;&lt;periodical&gt;&lt;full-title&gt;Artificial cells, nanomedicine, and biotechnology&lt;/full-title&gt;&lt;/periodical&gt;&lt;pages&gt;974-982&lt;/pages&gt;&lt;volume&gt;46&lt;/volume&gt;&lt;number&gt;sup2&lt;/number&gt;&lt;dates&gt;&lt;year&gt;2018&lt;/year&gt;&lt;/dates&gt;&lt;isbn&gt;2169-1401&lt;/isbn&gt;&lt;urls&gt;&lt;/urls&gt;&lt;/record&gt;&lt;/Cite&gt;&lt;/EndNote&gt;</w:instrText>
      </w:r>
      <w:r w:rsidR="00430919" w:rsidRPr="00856ECB">
        <w:rPr>
          <w:rFonts w:asciiTheme="majorBidi" w:hAnsiTheme="majorBidi" w:cstheme="majorBidi"/>
          <w:color w:val="000000" w:themeColor="text1"/>
        </w:rPr>
        <w:fldChar w:fldCharType="separate"/>
      </w:r>
      <w:r w:rsidR="008B543B">
        <w:rPr>
          <w:rFonts w:asciiTheme="majorBidi" w:hAnsiTheme="majorBidi" w:cstheme="majorBidi"/>
          <w:noProof/>
          <w:color w:val="000000" w:themeColor="text1"/>
        </w:rPr>
        <w:t>(68)</w:t>
      </w:r>
      <w:r w:rsidR="00430919" w:rsidRPr="00856ECB">
        <w:rPr>
          <w:rFonts w:asciiTheme="majorBidi" w:hAnsiTheme="majorBidi" w:cstheme="majorBidi"/>
          <w:color w:val="000000" w:themeColor="text1"/>
        </w:rPr>
        <w:fldChar w:fldCharType="end"/>
      </w:r>
      <w:r w:rsidR="00430919" w:rsidRPr="00856ECB">
        <w:rPr>
          <w:rFonts w:asciiTheme="majorBidi" w:hAnsiTheme="majorBidi" w:cstheme="majorBidi"/>
          <w:color w:val="000000" w:themeColor="text1"/>
        </w:rPr>
        <w:t xml:space="preserve">. </w:t>
      </w:r>
    </w:p>
    <w:p w14:paraId="1F1DF815" w14:textId="77777777" w:rsidR="008B5AB2" w:rsidRDefault="008B5AB2" w:rsidP="008B5AB2">
      <w:pPr>
        <w:spacing w:line="276" w:lineRule="auto"/>
        <w:jc w:val="both"/>
        <w:rPr>
          <w:rFonts w:asciiTheme="majorBidi" w:hAnsiTheme="majorBidi" w:cstheme="majorBidi"/>
        </w:rPr>
      </w:pPr>
    </w:p>
    <w:p w14:paraId="5C400926" w14:textId="0A133D29" w:rsidR="00374DF1" w:rsidRPr="008B5AB2" w:rsidRDefault="00BB64F9" w:rsidP="008B5AB2">
      <w:pPr>
        <w:spacing w:line="276" w:lineRule="auto"/>
        <w:jc w:val="both"/>
        <w:rPr>
          <w:rFonts w:asciiTheme="majorBidi" w:hAnsiTheme="majorBidi" w:cstheme="majorBidi"/>
          <w:i/>
          <w:iCs/>
          <w:color w:val="0070C0"/>
        </w:rPr>
      </w:pPr>
      <w:r w:rsidRPr="008B5AB2">
        <w:rPr>
          <w:rStyle w:val="Heading3Char"/>
          <w:rFonts w:asciiTheme="majorBidi" w:hAnsiTheme="majorBidi"/>
          <w:i/>
          <w:iCs/>
          <w:color w:val="0070C0"/>
        </w:rPr>
        <w:t xml:space="preserve">Limited </w:t>
      </w:r>
      <w:r w:rsidR="00171021" w:rsidRPr="008B5AB2">
        <w:rPr>
          <w:rStyle w:val="Heading3Char"/>
          <w:rFonts w:asciiTheme="majorBidi" w:hAnsiTheme="majorBidi"/>
          <w:i/>
          <w:iCs/>
          <w:color w:val="0070C0"/>
        </w:rPr>
        <w:t xml:space="preserve">Precision in </w:t>
      </w:r>
      <w:r w:rsidRPr="008B5AB2">
        <w:rPr>
          <w:rStyle w:val="Heading3Char"/>
          <w:rFonts w:asciiTheme="majorBidi" w:hAnsiTheme="majorBidi"/>
          <w:i/>
          <w:iCs/>
          <w:color w:val="0070C0"/>
        </w:rPr>
        <w:t>Targeted Delivery</w:t>
      </w:r>
    </w:p>
    <w:p w14:paraId="71B793C9" w14:textId="02139349" w:rsidR="00660BFC" w:rsidRDefault="00562C40" w:rsidP="009A0C39">
      <w:pPr>
        <w:spacing w:line="276" w:lineRule="auto"/>
        <w:jc w:val="both"/>
        <w:rPr>
          <w:rFonts w:asciiTheme="majorBidi" w:hAnsiTheme="majorBidi" w:cstheme="majorBidi"/>
          <w:color w:val="000000" w:themeColor="text1"/>
        </w:rPr>
      </w:pPr>
      <w:r w:rsidRPr="00856ECB">
        <w:rPr>
          <w:rFonts w:asciiTheme="majorBidi" w:hAnsiTheme="majorBidi" w:cstheme="majorBidi"/>
          <w:color w:val="000000" w:themeColor="text1"/>
        </w:rPr>
        <w:t xml:space="preserve">Current delivery platforms for both probiotics and </w:t>
      </w:r>
      <w:proofErr w:type="spellStart"/>
      <w:r w:rsidRPr="00856ECB">
        <w:rPr>
          <w:rFonts w:asciiTheme="majorBidi" w:hAnsiTheme="majorBidi" w:cstheme="majorBidi"/>
          <w:color w:val="000000" w:themeColor="text1"/>
        </w:rPr>
        <w:t>postbiotics</w:t>
      </w:r>
      <w:proofErr w:type="spellEnd"/>
      <w:r w:rsidRPr="00856ECB">
        <w:rPr>
          <w:rFonts w:asciiTheme="majorBidi" w:hAnsiTheme="majorBidi" w:cstheme="majorBidi"/>
          <w:color w:val="000000" w:themeColor="text1"/>
        </w:rPr>
        <w:t xml:space="preserve"> lack specificity in targeting precise regions of the </w:t>
      </w:r>
      <w:r w:rsidR="009974DB" w:rsidRPr="00856ECB">
        <w:rPr>
          <w:rFonts w:asciiTheme="majorBidi" w:hAnsiTheme="majorBidi" w:cstheme="majorBidi"/>
          <w:color w:val="000000" w:themeColor="text1"/>
        </w:rPr>
        <w:t>gastrointestinal</w:t>
      </w:r>
      <w:r w:rsidRPr="00856ECB">
        <w:rPr>
          <w:rFonts w:asciiTheme="majorBidi" w:hAnsiTheme="majorBidi" w:cstheme="majorBidi"/>
          <w:color w:val="000000" w:themeColor="text1"/>
        </w:rPr>
        <w:t xml:space="preserve"> tract. For example, </w:t>
      </w:r>
      <w:proofErr w:type="spellStart"/>
      <w:r w:rsidRPr="00856ECB">
        <w:rPr>
          <w:rFonts w:asciiTheme="majorBidi" w:hAnsiTheme="majorBidi" w:cstheme="majorBidi"/>
          <w:color w:val="000000" w:themeColor="text1"/>
        </w:rPr>
        <w:t>postbiotics</w:t>
      </w:r>
      <w:proofErr w:type="spellEnd"/>
      <w:r w:rsidRPr="00856ECB">
        <w:rPr>
          <w:rFonts w:asciiTheme="majorBidi" w:hAnsiTheme="majorBidi" w:cstheme="majorBidi"/>
          <w:color w:val="000000" w:themeColor="text1"/>
        </w:rPr>
        <w:t xml:space="preserve"> like short-chain fatty acids are often absorbed in the upper GI tract, limiting their intended effects in the colon </w:t>
      </w:r>
      <w:r w:rsidR="00677E09" w:rsidRPr="00856ECB">
        <w:rPr>
          <w:rFonts w:asciiTheme="majorBidi" w:hAnsiTheme="majorBidi" w:cstheme="majorBidi"/>
          <w:color w:val="000000" w:themeColor="text1"/>
        </w:rPr>
        <w:fldChar w:fldCharType="begin"/>
      </w:r>
      <w:r w:rsidR="008B543B">
        <w:rPr>
          <w:rFonts w:asciiTheme="majorBidi" w:hAnsiTheme="majorBidi" w:cstheme="majorBidi"/>
          <w:color w:val="000000" w:themeColor="text1"/>
        </w:rPr>
        <w:instrText xml:space="preserve"> ADDIN EN.CITE &lt;EndNote&gt;&lt;Cite&gt;&lt;Author&gt;McClements&lt;/Author&gt;&lt;Year&gt;2017&lt;/Year&gt;&lt;RecNum&gt;230&lt;/RecNum&gt;&lt;DisplayText&gt;(69)&lt;/DisplayText&gt;&lt;record&gt;&lt;rec-number&gt;230&lt;/rec-number&gt;&lt;foreign-keys&gt;&lt;key app="EN" db-id="exwvr9fd40te9ner0f4ptrrorttf9svzawdd" timestamp="1751699896"&gt;230&lt;/key&gt;&lt;/foreign-keys&gt;&lt;ref-type name="Journal Article"&gt;17&lt;/ref-type&gt;&lt;contributors&gt;&lt;authors&gt;&lt;author&gt;McClements, David Julian&lt;/author&gt;&lt;/authors&gt;&lt;/contributors&gt;&lt;titles&gt;&lt;title&gt;Designing biopolymer microgels to encapsulate, protect and deliver bioactive components: Physicochemical aspects&lt;/title&gt;&lt;secondary-title&gt;Advances in Colloid and Interface Science&lt;/secondary-title&gt;&lt;/titles&gt;&lt;periodical&gt;&lt;full-title&gt;Advances in Colloid and Interface Science&lt;/full-title&gt;&lt;/periodical&gt;&lt;pages&gt;31-59&lt;/pages&gt;&lt;volume&gt;240&lt;/volume&gt;&lt;dates&gt;&lt;year&gt;2017&lt;/year&gt;&lt;/dates&gt;&lt;isbn&gt;0001-8686&lt;/isbn&gt;&lt;urls&gt;&lt;/urls&gt;&lt;/record&gt;&lt;/Cite&gt;&lt;/EndNote&gt;</w:instrText>
      </w:r>
      <w:r w:rsidR="00677E09" w:rsidRPr="00856ECB">
        <w:rPr>
          <w:rFonts w:asciiTheme="majorBidi" w:hAnsiTheme="majorBidi" w:cstheme="majorBidi"/>
          <w:color w:val="000000" w:themeColor="text1"/>
        </w:rPr>
        <w:fldChar w:fldCharType="separate"/>
      </w:r>
      <w:r w:rsidR="008B543B">
        <w:rPr>
          <w:rFonts w:asciiTheme="majorBidi" w:hAnsiTheme="majorBidi" w:cstheme="majorBidi"/>
          <w:noProof/>
          <w:color w:val="000000" w:themeColor="text1"/>
        </w:rPr>
        <w:t>(69)</w:t>
      </w:r>
      <w:r w:rsidR="00677E09" w:rsidRPr="00856ECB">
        <w:rPr>
          <w:rFonts w:asciiTheme="majorBidi" w:hAnsiTheme="majorBidi" w:cstheme="majorBidi"/>
          <w:color w:val="000000" w:themeColor="text1"/>
        </w:rPr>
        <w:fldChar w:fldCharType="end"/>
      </w:r>
      <w:bookmarkStart w:id="9" w:name="_Hlk203204714"/>
      <w:r w:rsidR="00660BFC" w:rsidRPr="00856ECB">
        <w:rPr>
          <w:rFonts w:asciiTheme="majorBidi" w:hAnsiTheme="majorBidi" w:cstheme="majorBidi"/>
          <w:color w:val="000000" w:themeColor="text1"/>
        </w:rPr>
        <w:t xml:space="preserve">. </w:t>
      </w:r>
      <w:r w:rsidRPr="00856ECB">
        <w:rPr>
          <w:rFonts w:asciiTheme="majorBidi" w:hAnsiTheme="majorBidi" w:cstheme="majorBidi"/>
          <w:color w:val="000000" w:themeColor="text1"/>
        </w:rPr>
        <w:t xml:space="preserve">To overcome this, nanoparticle-based delivery systems have been developed. One study demonstrated that lysate extracts of </w:t>
      </w:r>
      <w:r w:rsidRPr="00856ECB">
        <w:rPr>
          <w:rFonts w:asciiTheme="majorBidi" w:hAnsiTheme="majorBidi" w:cstheme="majorBidi"/>
          <w:i/>
          <w:iCs/>
          <w:color w:val="000000" w:themeColor="text1"/>
        </w:rPr>
        <w:t xml:space="preserve">Lactobacillus </w:t>
      </w:r>
      <w:proofErr w:type="spellStart"/>
      <w:r w:rsidRPr="00856ECB">
        <w:rPr>
          <w:rFonts w:asciiTheme="majorBidi" w:hAnsiTheme="majorBidi" w:cstheme="majorBidi"/>
          <w:i/>
          <w:iCs/>
          <w:color w:val="000000" w:themeColor="text1"/>
        </w:rPr>
        <w:t>paracasei</w:t>
      </w:r>
      <w:proofErr w:type="spellEnd"/>
      <w:r w:rsidRPr="00856ECB">
        <w:rPr>
          <w:rFonts w:asciiTheme="majorBidi" w:hAnsiTheme="majorBidi" w:cstheme="majorBidi"/>
          <w:i/>
          <w:iCs/>
          <w:color w:val="000000" w:themeColor="text1"/>
        </w:rPr>
        <w:t xml:space="preserve"> GMNL-133</w:t>
      </w:r>
      <w:r w:rsidRPr="00856ECB">
        <w:rPr>
          <w:rFonts w:asciiTheme="majorBidi" w:hAnsiTheme="majorBidi" w:cstheme="majorBidi"/>
          <w:color w:val="000000" w:themeColor="text1"/>
        </w:rPr>
        <w:t>, when encapsulated in nanoparticles composed of arginine-chitosan (</w:t>
      </w:r>
      <w:proofErr w:type="spellStart"/>
      <w:r w:rsidRPr="00856ECB">
        <w:rPr>
          <w:rFonts w:asciiTheme="majorBidi" w:hAnsiTheme="majorBidi" w:cstheme="majorBidi"/>
          <w:color w:val="000000" w:themeColor="text1"/>
        </w:rPr>
        <w:t>Arg</w:t>
      </w:r>
      <w:proofErr w:type="spellEnd"/>
      <w:r w:rsidRPr="00856ECB">
        <w:rPr>
          <w:rFonts w:asciiTheme="majorBidi" w:hAnsiTheme="majorBidi" w:cstheme="majorBidi"/>
          <w:color w:val="000000" w:themeColor="text1"/>
        </w:rPr>
        <w:t xml:space="preserve">-CS) and </w:t>
      </w:r>
      <w:proofErr w:type="spellStart"/>
      <w:r w:rsidRPr="00856ECB">
        <w:rPr>
          <w:rFonts w:asciiTheme="majorBidi" w:hAnsiTheme="majorBidi" w:cstheme="majorBidi"/>
          <w:color w:val="000000" w:themeColor="text1"/>
        </w:rPr>
        <w:t>fucoidan</w:t>
      </w:r>
      <w:proofErr w:type="spellEnd"/>
      <w:r w:rsidRPr="00856ECB">
        <w:rPr>
          <w:rFonts w:asciiTheme="majorBidi" w:hAnsiTheme="majorBidi" w:cstheme="majorBidi"/>
          <w:color w:val="000000" w:themeColor="text1"/>
        </w:rPr>
        <w:t xml:space="preserve"> (FC), exhibited improved resistance to gastric acid, enhanced mucosal adhesion, and sustained release. These innovations significantly improved the therapeutic potential of </w:t>
      </w:r>
      <w:proofErr w:type="spellStart"/>
      <w:r w:rsidRPr="00856ECB">
        <w:rPr>
          <w:rFonts w:asciiTheme="majorBidi" w:hAnsiTheme="majorBidi" w:cstheme="majorBidi"/>
          <w:color w:val="000000" w:themeColor="text1"/>
        </w:rPr>
        <w:t>postbiotics</w:t>
      </w:r>
      <w:proofErr w:type="spellEnd"/>
      <w:r w:rsidRPr="00856ECB">
        <w:rPr>
          <w:rFonts w:asciiTheme="majorBidi" w:hAnsiTheme="majorBidi" w:cstheme="majorBidi"/>
          <w:color w:val="000000" w:themeColor="text1"/>
        </w:rPr>
        <w:t xml:space="preserve"> in gastric cancer models </w:t>
      </w:r>
      <w:r w:rsidR="00660BFC" w:rsidRPr="00856ECB">
        <w:rPr>
          <w:rFonts w:asciiTheme="majorBidi" w:hAnsiTheme="majorBidi" w:cstheme="majorBidi"/>
          <w:color w:val="000000" w:themeColor="text1"/>
        </w:rPr>
        <w:fldChar w:fldCharType="begin"/>
      </w:r>
      <w:r w:rsidR="008B543B">
        <w:rPr>
          <w:rFonts w:asciiTheme="majorBidi" w:hAnsiTheme="majorBidi" w:cstheme="majorBidi"/>
          <w:color w:val="000000" w:themeColor="text1"/>
        </w:rPr>
        <w:instrText xml:space="preserve"> ADDIN EN.CITE &lt;EndNote&gt;&lt;Cite&gt;&lt;Author&gt;Huang&lt;/Author&gt;&lt;Year&gt;2024&lt;/Year&gt;&lt;RecNum&gt;242&lt;/RecNum&gt;&lt;DisplayText&gt;(70)&lt;/DisplayText&gt;&lt;record&gt;&lt;rec-number&gt;242&lt;/rec-number&gt;&lt;foreign-keys&gt;&lt;key app="EN" db-id="exwvr9fd40te9ner0f4ptrrorttf9svzawdd" timestamp="1751702073"&gt;242&lt;/key&gt;&lt;/foreign-keys&gt;&lt;ref-type name="Journal Article"&gt;17&lt;/ref-type&gt;&lt;contributors&gt;&lt;authors&gt;&lt;author&gt;Huang, Hau-Lun&lt;/author&gt;&lt;author&gt;Lai, Chih-Ho&lt;/author&gt;&lt;author&gt;Tsai, Wan-Hua&lt;/author&gt;&lt;author&gt;Chen, Kuo-Wei&lt;/author&gt;&lt;author&gt;Peng, Shin-Lei&lt;/author&gt;&lt;author&gt;Lin, Jui-Hsiang&lt;/author&gt;&lt;author&gt;Lin, Yu-Hsin&lt;/author&gt;&lt;/authors&gt;&lt;/contributors&gt;&lt;titles&gt;&lt;title&gt;Nanoparticle-enhanced postbiotics: Revolutionizing cancer therapy through effective delivery&lt;/title&gt;&lt;secondary-title&gt;Life Sciences&lt;/secondary-title&gt;&lt;/titles&gt;&lt;periodical&gt;&lt;full-title&gt;Life Sciences&lt;/full-title&gt;&lt;/periodical&gt;&lt;pages&gt;122379&lt;/pages&gt;&lt;volume&gt;337&lt;/volume&gt;&lt;dates&gt;&lt;year&gt;2024&lt;/year&gt;&lt;/dates&gt;&lt;isbn&gt;0024-3205&lt;/isbn&gt;&lt;urls&gt;&lt;/urls&gt;&lt;/record&gt;&lt;/Cite&gt;&lt;/EndNote&gt;</w:instrText>
      </w:r>
      <w:r w:rsidR="00660BFC" w:rsidRPr="00856ECB">
        <w:rPr>
          <w:rFonts w:asciiTheme="majorBidi" w:hAnsiTheme="majorBidi" w:cstheme="majorBidi"/>
          <w:color w:val="000000" w:themeColor="text1"/>
        </w:rPr>
        <w:fldChar w:fldCharType="separate"/>
      </w:r>
      <w:r w:rsidR="008B543B">
        <w:rPr>
          <w:rFonts w:asciiTheme="majorBidi" w:hAnsiTheme="majorBidi" w:cstheme="majorBidi"/>
          <w:noProof/>
          <w:color w:val="000000" w:themeColor="text1"/>
        </w:rPr>
        <w:t>(70)</w:t>
      </w:r>
      <w:r w:rsidR="00660BFC" w:rsidRPr="00856ECB">
        <w:rPr>
          <w:rFonts w:asciiTheme="majorBidi" w:hAnsiTheme="majorBidi" w:cstheme="majorBidi"/>
          <w:color w:val="000000" w:themeColor="text1"/>
        </w:rPr>
        <w:fldChar w:fldCharType="end"/>
      </w:r>
      <w:r w:rsidR="00660BFC" w:rsidRPr="00856ECB">
        <w:rPr>
          <w:rFonts w:asciiTheme="majorBidi" w:hAnsiTheme="majorBidi" w:cstheme="majorBidi"/>
          <w:color w:val="000000" w:themeColor="text1"/>
        </w:rPr>
        <w:t>.</w:t>
      </w:r>
    </w:p>
    <w:p w14:paraId="5A3818F5" w14:textId="77777777" w:rsidR="00E12A19" w:rsidRPr="00856ECB" w:rsidRDefault="00E12A19" w:rsidP="009A0C39">
      <w:pPr>
        <w:spacing w:line="276" w:lineRule="auto"/>
        <w:jc w:val="both"/>
        <w:rPr>
          <w:rFonts w:asciiTheme="majorBidi" w:hAnsiTheme="majorBidi" w:cstheme="majorBidi"/>
          <w:color w:val="000000" w:themeColor="text1"/>
        </w:rPr>
      </w:pPr>
    </w:p>
    <w:bookmarkEnd w:id="9"/>
    <w:p w14:paraId="64F194B3" w14:textId="7EF54BC1" w:rsidR="00374DF1" w:rsidRPr="00AF54E6" w:rsidRDefault="00BB64F9" w:rsidP="009A0C39">
      <w:pPr>
        <w:pStyle w:val="Heading3"/>
        <w:jc w:val="both"/>
        <w:rPr>
          <w:rFonts w:asciiTheme="majorBidi" w:hAnsiTheme="majorBidi"/>
          <w:i/>
          <w:iCs/>
          <w:color w:val="0070C0"/>
        </w:rPr>
      </w:pPr>
      <w:r w:rsidRPr="00AF54E6">
        <w:rPr>
          <w:rFonts w:asciiTheme="majorBidi" w:hAnsiTheme="majorBidi"/>
          <w:i/>
          <w:iCs/>
          <w:color w:val="0070C0"/>
        </w:rPr>
        <w:t xml:space="preserve">Lack of Reliable Biomarkers </w:t>
      </w:r>
    </w:p>
    <w:p w14:paraId="3AA7E2B0" w14:textId="31A2E4EF" w:rsidR="00DE10F8" w:rsidRPr="00856ECB" w:rsidRDefault="00562C40" w:rsidP="009A0C39">
      <w:pPr>
        <w:spacing w:line="276" w:lineRule="auto"/>
        <w:jc w:val="both"/>
        <w:rPr>
          <w:rFonts w:asciiTheme="majorBidi" w:hAnsiTheme="majorBidi" w:cstheme="majorBidi"/>
          <w:color w:val="000000" w:themeColor="text1"/>
        </w:rPr>
      </w:pPr>
      <w:r w:rsidRPr="00856ECB">
        <w:rPr>
          <w:rFonts w:asciiTheme="majorBidi" w:hAnsiTheme="majorBidi" w:cstheme="majorBidi"/>
          <w:color w:val="000000" w:themeColor="text1"/>
        </w:rPr>
        <w:t xml:space="preserve">The development and evaluation of </w:t>
      </w:r>
      <w:proofErr w:type="spellStart"/>
      <w:r w:rsidR="00921BD5" w:rsidRPr="00856ECB">
        <w:rPr>
          <w:rFonts w:asciiTheme="majorBidi" w:hAnsiTheme="majorBidi" w:cstheme="majorBidi"/>
          <w:color w:val="000000" w:themeColor="text1"/>
        </w:rPr>
        <w:t>psychobiotics</w:t>
      </w:r>
      <w:proofErr w:type="spellEnd"/>
      <w:r w:rsidRPr="00856ECB">
        <w:rPr>
          <w:rFonts w:asciiTheme="majorBidi" w:hAnsiTheme="majorBidi" w:cstheme="majorBidi"/>
          <w:color w:val="000000" w:themeColor="text1"/>
        </w:rPr>
        <w:t xml:space="preserve"> interventions are hindered by the absence of validated biomarkers. Synthetic biology has made it possible to engineer microbial systems that both detect and respond to disease states. A notable example is i-ROBOT, an engineered </w:t>
      </w:r>
      <w:r w:rsidRPr="00856ECB">
        <w:rPr>
          <w:rFonts w:asciiTheme="majorBidi" w:hAnsiTheme="majorBidi" w:cstheme="majorBidi"/>
          <w:i/>
          <w:iCs/>
          <w:color w:val="000000" w:themeColor="text1"/>
        </w:rPr>
        <w:t>E</w:t>
      </w:r>
      <w:r w:rsidR="004D7383" w:rsidRPr="00856ECB">
        <w:rPr>
          <w:rFonts w:asciiTheme="majorBidi" w:hAnsiTheme="majorBidi" w:cstheme="majorBidi"/>
          <w:i/>
          <w:iCs/>
          <w:color w:val="000000" w:themeColor="text1"/>
        </w:rPr>
        <w:t>.</w:t>
      </w:r>
      <w:r w:rsidRPr="00856ECB">
        <w:rPr>
          <w:rFonts w:asciiTheme="majorBidi" w:hAnsiTheme="majorBidi" w:cstheme="majorBidi"/>
          <w:i/>
          <w:iCs/>
          <w:color w:val="000000" w:themeColor="text1"/>
        </w:rPr>
        <w:t xml:space="preserve"> coli </w:t>
      </w:r>
      <w:proofErr w:type="spellStart"/>
      <w:r w:rsidRPr="00856ECB">
        <w:rPr>
          <w:rFonts w:asciiTheme="majorBidi" w:hAnsiTheme="majorBidi" w:cstheme="majorBidi"/>
          <w:i/>
          <w:iCs/>
          <w:color w:val="000000" w:themeColor="text1"/>
        </w:rPr>
        <w:t>Nissle</w:t>
      </w:r>
      <w:proofErr w:type="spellEnd"/>
      <w:r w:rsidRPr="00856ECB">
        <w:rPr>
          <w:rFonts w:asciiTheme="majorBidi" w:hAnsiTheme="majorBidi" w:cstheme="majorBidi"/>
          <w:i/>
          <w:iCs/>
          <w:color w:val="000000" w:themeColor="text1"/>
        </w:rPr>
        <w:t xml:space="preserve"> 1917</w:t>
      </w:r>
      <w:r w:rsidRPr="00856ECB">
        <w:rPr>
          <w:rFonts w:asciiTheme="majorBidi" w:hAnsiTheme="majorBidi" w:cstheme="majorBidi"/>
          <w:color w:val="000000" w:themeColor="text1"/>
        </w:rPr>
        <w:t xml:space="preserve"> strain designed to sense and treat inflammatory bowel disease (IBD). In a murine colitis model, i-ROBOT responded to thiosulfate levels by activating a heritable base-editing mechanism, producing visible readouts and secreting the </w:t>
      </w:r>
      <w:proofErr w:type="spellStart"/>
      <w:r w:rsidRPr="00856ECB">
        <w:rPr>
          <w:rFonts w:asciiTheme="majorBidi" w:hAnsiTheme="majorBidi" w:cstheme="majorBidi"/>
          <w:color w:val="000000" w:themeColor="text1"/>
        </w:rPr>
        <w:t>immunomodulatory</w:t>
      </w:r>
      <w:proofErr w:type="spellEnd"/>
      <w:r w:rsidRPr="00856ECB">
        <w:rPr>
          <w:rFonts w:asciiTheme="majorBidi" w:hAnsiTheme="majorBidi" w:cstheme="majorBidi"/>
          <w:color w:val="000000" w:themeColor="text1"/>
        </w:rPr>
        <w:t xml:space="preserve"> protein </w:t>
      </w:r>
      <w:proofErr w:type="spellStart"/>
      <w:r w:rsidRPr="00856ECB">
        <w:rPr>
          <w:rFonts w:asciiTheme="majorBidi" w:hAnsiTheme="majorBidi" w:cstheme="majorBidi"/>
          <w:color w:val="000000" w:themeColor="text1"/>
        </w:rPr>
        <w:t>AvCystatin</w:t>
      </w:r>
      <w:proofErr w:type="spellEnd"/>
      <w:r w:rsidRPr="00856ECB">
        <w:rPr>
          <w:rStyle w:val="FootnoteReference"/>
          <w:rFonts w:asciiTheme="majorBidi" w:hAnsiTheme="majorBidi" w:cstheme="majorBidi"/>
          <w:color w:val="000000" w:themeColor="text1"/>
        </w:rPr>
        <w:footnoteReference w:id="9"/>
      </w:r>
      <w:r w:rsidRPr="00856ECB">
        <w:rPr>
          <w:rFonts w:asciiTheme="majorBidi" w:hAnsiTheme="majorBidi" w:cstheme="majorBidi"/>
          <w:color w:val="000000" w:themeColor="text1"/>
        </w:rPr>
        <w:t>. This multifunctional design illustrates the potential for diagnostic and therapeutic integration in microbial therapeutics</w:t>
      </w:r>
      <w:r w:rsidR="00DE10F8" w:rsidRPr="00856ECB">
        <w:rPr>
          <w:rFonts w:asciiTheme="majorBidi" w:hAnsiTheme="majorBidi" w:cstheme="majorBidi"/>
          <w:color w:val="000000" w:themeColor="text1"/>
        </w:rPr>
        <w:t xml:space="preserve"> </w:t>
      </w:r>
      <w:r w:rsidR="00DE10F8" w:rsidRPr="00856ECB">
        <w:rPr>
          <w:rFonts w:asciiTheme="majorBidi" w:hAnsiTheme="majorBidi" w:cstheme="majorBidi"/>
          <w:color w:val="000000" w:themeColor="text1"/>
        </w:rPr>
        <w:fldChar w:fldCharType="begin"/>
      </w:r>
      <w:r w:rsidR="008B543B">
        <w:rPr>
          <w:rFonts w:asciiTheme="majorBidi" w:hAnsiTheme="majorBidi" w:cstheme="majorBidi"/>
          <w:color w:val="000000" w:themeColor="text1"/>
        </w:rPr>
        <w:instrText xml:space="preserve"> ADDIN EN.CITE &lt;EndNote&gt;&lt;Cite&gt;&lt;Author&gt;Zou&lt;/Author&gt;&lt;Year&gt;2023&lt;/Year&gt;&lt;RecNum&gt;244&lt;/RecNum&gt;&lt;DisplayText&gt;(71)&lt;/DisplayText&gt;&lt;record&gt;&lt;rec-number&gt;244&lt;/rec-number&gt;&lt;foreign-keys&gt;&lt;key app="EN" db-id="exwvr9fd40te9ner0f4ptrrorttf9svzawdd" timestamp="1751702374"&gt;244&lt;/key&gt;&lt;/foreign-keys&gt;&lt;ref-type name="Journal Article"&gt;17&lt;/ref-type&gt;&lt;contributors&gt;&lt;authors&gt;&lt;author&gt;Zou, Zhen-Ping&lt;/author&gt;&lt;author&gt;Du, Yue&lt;/author&gt;&lt;author&gt;Fang, Ting-Ting&lt;/author&gt;&lt;author&gt;Zhou, Ying&lt;/author&gt;&lt;author&gt;Ye, Bang-Ce&lt;/author&gt;&lt;/authors&gt;&lt;/contributors&gt;&lt;titles&gt;&lt;title&gt;Biomarker-responsive engineered probiotic diagnoses, records, and ameliorates inflammatory bowel disease in mice&lt;/title&gt;&lt;secondary-title&gt;Cell Host &amp;amp; Microbe&lt;/secondary-title&gt;&lt;/titles&gt;&lt;periodical&gt;&lt;full-title&gt;Cell Host &amp;amp; Microbe&lt;/full-title&gt;&lt;/periodical&gt;&lt;pages&gt;199-212. e5&lt;/pages&gt;&lt;volume&gt;31&lt;/volume&gt;&lt;number&gt;2&lt;/number&gt;&lt;dates&gt;&lt;year&gt;2023&lt;/year&gt;&lt;/dates&gt;&lt;isbn&gt;1931-3128&lt;/isbn&gt;&lt;urls&gt;&lt;/urls&gt;&lt;/record&gt;&lt;/Cite&gt;&lt;/EndNote&gt;</w:instrText>
      </w:r>
      <w:r w:rsidR="00DE10F8" w:rsidRPr="00856ECB">
        <w:rPr>
          <w:rFonts w:asciiTheme="majorBidi" w:hAnsiTheme="majorBidi" w:cstheme="majorBidi"/>
          <w:color w:val="000000" w:themeColor="text1"/>
        </w:rPr>
        <w:fldChar w:fldCharType="separate"/>
      </w:r>
      <w:r w:rsidR="008B543B">
        <w:rPr>
          <w:rFonts w:asciiTheme="majorBidi" w:hAnsiTheme="majorBidi" w:cstheme="majorBidi"/>
          <w:noProof/>
          <w:color w:val="000000" w:themeColor="text1"/>
        </w:rPr>
        <w:t>(71)</w:t>
      </w:r>
      <w:r w:rsidR="00DE10F8" w:rsidRPr="00856ECB">
        <w:rPr>
          <w:rFonts w:asciiTheme="majorBidi" w:hAnsiTheme="majorBidi" w:cstheme="majorBidi"/>
          <w:color w:val="000000" w:themeColor="text1"/>
        </w:rPr>
        <w:fldChar w:fldCharType="end"/>
      </w:r>
      <w:r w:rsidR="00DE10F8" w:rsidRPr="00856ECB">
        <w:rPr>
          <w:rFonts w:asciiTheme="majorBidi" w:hAnsiTheme="majorBidi" w:cstheme="majorBidi"/>
          <w:color w:val="000000" w:themeColor="text1"/>
        </w:rPr>
        <w:t>.</w:t>
      </w:r>
    </w:p>
    <w:p w14:paraId="7A07DA69" w14:textId="1A52F372" w:rsidR="00F65590" w:rsidRPr="00856ECB" w:rsidRDefault="00F65590" w:rsidP="009A0C39">
      <w:pPr>
        <w:spacing w:line="276" w:lineRule="auto"/>
        <w:jc w:val="both"/>
        <w:rPr>
          <w:rFonts w:asciiTheme="majorBidi" w:hAnsiTheme="majorBidi" w:cstheme="majorBidi"/>
          <w:color w:val="000000" w:themeColor="text1"/>
        </w:rPr>
      </w:pPr>
    </w:p>
    <w:p w14:paraId="0D8AB0A0" w14:textId="0547480E" w:rsidR="001140ED" w:rsidRPr="00856ECB" w:rsidRDefault="00562C40" w:rsidP="009A0C39">
      <w:pPr>
        <w:spacing w:line="276" w:lineRule="auto"/>
        <w:jc w:val="both"/>
        <w:rPr>
          <w:rFonts w:asciiTheme="majorBidi" w:hAnsiTheme="majorBidi" w:cstheme="majorBidi"/>
          <w:color w:val="0070C0"/>
        </w:rPr>
      </w:pPr>
      <w:r w:rsidRPr="00856ECB">
        <w:rPr>
          <w:rFonts w:asciiTheme="majorBidi" w:hAnsiTheme="majorBidi" w:cstheme="majorBidi"/>
          <w:color w:val="0070C0"/>
        </w:rPr>
        <w:t xml:space="preserve">Future Directions in Personalized </w:t>
      </w:r>
      <w:proofErr w:type="spellStart"/>
      <w:r w:rsidRPr="00856ECB">
        <w:rPr>
          <w:rFonts w:asciiTheme="majorBidi" w:hAnsiTheme="majorBidi" w:cstheme="majorBidi"/>
          <w:color w:val="0070C0"/>
        </w:rPr>
        <w:t>Synbiotics</w:t>
      </w:r>
      <w:proofErr w:type="spellEnd"/>
    </w:p>
    <w:p w14:paraId="2D45DE42" w14:textId="4FDA1050" w:rsidR="001E0F32" w:rsidRPr="00856ECB" w:rsidRDefault="00562C40" w:rsidP="009A0C39">
      <w:pPr>
        <w:spacing w:line="276" w:lineRule="auto"/>
        <w:jc w:val="both"/>
        <w:rPr>
          <w:rFonts w:asciiTheme="majorBidi" w:hAnsiTheme="majorBidi" w:cstheme="majorBidi"/>
          <w:color w:val="000000" w:themeColor="text1"/>
        </w:rPr>
      </w:pPr>
      <w:proofErr w:type="spellStart"/>
      <w:r w:rsidRPr="00856ECB">
        <w:rPr>
          <w:rFonts w:asciiTheme="majorBidi" w:hAnsiTheme="majorBidi" w:cstheme="majorBidi"/>
          <w:color w:val="000000" w:themeColor="text1"/>
        </w:rPr>
        <w:t>Synbiotics</w:t>
      </w:r>
      <w:proofErr w:type="spellEnd"/>
      <w:r w:rsidRPr="00856ECB">
        <w:rPr>
          <w:rFonts w:asciiTheme="majorBidi" w:hAnsiTheme="majorBidi" w:cstheme="majorBidi"/>
          <w:color w:val="000000" w:themeColor="text1"/>
        </w:rPr>
        <w:t xml:space="preserve"> are formulated by combining specific probiotics with prebiotic substrates that enhance their growth and metabolic activity. Common prebiotics include inulin and </w:t>
      </w:r>
      <w:proofErr w:type="spellStart"/>
      <w:r w:rsidRPr="00856ECB">
        <w:rPr>
          <w:rFonts w:asciiTheme="majorBidi" w:hAnsiTheme="majorBidi" w:cstheme="majorBidi"/>
          <w:color w:val="000000" w:themeColor="text1"/>
        </w:rPr>
        <w:t>fructooligosaccharides</w:t>
      </w:r>
      <w:proofErr w:type="spellEnd"/>
      <w:r w:rsidRPr="00856ECB">
        <w:rPr>
          <w:rFonts w:asciiTheme="majorBidi" w:hAnsiTheme="majorBidi" w:cstheme="majorBidi"/>
          <w:color w:val="000000" w:themeColor="text1"/>
        </w:rPr>
        <w:t xml:space="preserve"> (FOS), which selectively stimulate the colonization and activity of </w:t>
      </w:r>
      <w:r w:rsidRPr="00856ECB">
        <w:rPr>
          <w:rFonts w:asciiTheme="majorBidi" w:hAnsiTheme="majorBidi" w:cstheme="majorBidi"/>
          <w:color w:val="000000" w:themeColor="text1"/>
        </w:rPr>
        <w:lastRenderedPageBreak/>
        <w:t xml:space="preserve">beneficial strains such as </w:t>
      </w:r>
      <w:proofErr w:type="spellStart"/>
      <w:r w:rsidRPr="00856ECB">
        <w:rPr>
          <w:rFonts w:asciiTheme="majorBidi" w:hAnsiTheme="majorBidi" w:cstheme="majorBidi"/>
          <w:i/>
          <w:iCs/>
          <w:color w:val="000000" w:themeColor="text1"/>
        </w:rPr>
        <w:t>Bifidobacterium</w:t>
      </w:r>
      <w:proofErr w:type="spellEnd"/>
      <w:r w:rsidRPr="00856ECB">
        <w:rPr>
          <w:rFonts w:asciiTheme="majorBidi" w:hAnsiTheme="majorBidi" w:cstheme="majorBidi"/>
          <w:i/>
          <w:iCs/>
          <w:color w:val="000000" w:themeColor="text1"/>
        </w:rPr>
        <w:t xml:space="preserve"> and Lactobacillus</w:t>
      </w:r>
      <w:r w:rsidRPr="00856ECB">
        <w:rPr>
          <w:rFonts w:asciiTheme="majorBidi" w:hAnsiTheme="majorBidi" w:cstheme="majorBidi"/>
          <w:color w:val="000000" w:themeColor="text1"/>
        </w:rPr>
        <w:t xml:space="preserve"> </w:t>
      </w:r>
      <w:r w:rsidR="00402172" w:rsidRPr="00856ECB">
        <w:rPr>
          <w:rFonts w:asciiTheme="majorBidi" w:hAnsiTheme="majorBidi" w:cstheme="majorBidi"/>
          <w:color w:val="000000" w:themeColor="text1"/>
        </w:rPr>
        <w:fldChar w:fldCharType="begin"/>
      </w:r>
      <w:r w:rsidR="008B543B">
        <w:rPr>
          <w:rFonts w:asciiTheme="majorBidi" w:hAnsiTheme="majorBidi" w:cstheme="majorBidi"/>
          <w:color w:val="000000" w:themeColor="text1"/>
        </w:rPr>
        <w:instrText xml:space="preserve"> ADDIN EN.CITE &lt;EndNote&gt;&lt;Cite&gt;&lt;Author&gt;Pandey&lt;/Author&gt;&lt;Year&gt;2015&lt;/Year&gt;&lt;RecNum&gt;367&lt;/RecNum&gt;&lt;DisplayText&gt;(72)&lt;/DisplayText&gt;&lt;record&gt;&lt;rec-number&gt;367&lt;/rec-number&gt;&lt;foreign-keys&gt;&lt;key app="EN" db-id="exwvr9fd40te9ner0f4ptrrorttf9svzawdd" timestamp="1753339904"&gt;367&lt;/key&gt;&lt;/foreign-keys&gt;&lt;ref-type name="Journal Article"&gt;17&lt;/ref-type&gt;&lt;contributors&gt;&lt;authors&gt;&lt;author&gt;Pandey, Kavita&lt;/author&gt;&lt;author&gt;Naik, Suresh&lt;/author&gt;&lt;author&gt;Vakil, Babu&lt;/author&gt;&lt;/authors&gt;&lt;/contributors&gt;&lt;titles&gt;&lt;title&gt;Probiotics, prebiotics and synbiotics-a review&lt;/title&gt;&lt;secondary-title&gt;Journal of food science and technology&lt;/secondary-title&gt;&lt;/titles&gt;&lt;periodical&gt;&lt;full-title&gt;Journal of food science and technology&lt;/full-title&gt;&lt;/periodical&gt;&lt;pages&gt;7577-7587&lt;/pages&gt;&lt;volume&gt;52&lt;/volume&gt;&lt;number&gt;12&lt;/number&gt;&lt;dates&gt;&lt;year&gt;2015&lt;/year&gt;&lt;/dates&gt;&lt;isbn&gt;0975-8402&lt;/isbn&gt;&lt;urls&gt;&lt;/urls&gt;&lt;/record&gt;&lt;/Cite&gt;&lt;/EndNote&gt;</w:instrText>
      </w:r>
      <w:r w:rsidR="00402172" w:rsidRPr="00856ECB">
        <w:rPr>
          <w:rFonts w:asciiTheme="majorBidi" w:hAnsiTheme="majorBidi" w:cstheme="majorBidi"/>
          <w:color w:val="000000" w:themeColor="text1"/>
        </w:rPr>
        <w:fldChar w:fldCharType="separate"/>
      </w:r>
      <w:r w:rsidR="008B543B">
        <w:rPr>
          <w:rFonts w:asciiTheme="majorBidi" w:hAnsiTheme="majorBidi" w:cstheme="majorBidi"/>
          <w:noProof/>
          <w:color w:val="000000" w:themeColor="text1"/>
        </w:rPr>
        <w:t>(72)</w:t>
      </w:r>
      <w:r w:rsidR="00402172" w:rsidRPr="00856ECB">
        <w:rPr>
          <w:rFonts w:asciiTheme="majorBidi" w:hAnsiTheme="majorBidi" w:cstheme="majorBidi"/>
          <w:color w:val="000000" w:themeColor="text1"/>
        </w:rPr>
        <w:fldChar w:fldCharType="end"/>
      </w:r>
      <w:r w:rsidR="00402172" w:rsidRPr="00856ECB">
        <w:rPr>
          <w:rFonts w:asciiTheme="majorBidi" w:hAnsiTheme="majorBidi" w:cstheme="majorBidi"/>
          <w:color w:val="000000" w:themeColor="text1"/>
        </w:rPr>
        <w:t>.</w:t>
      </w:r>
      <w:r w:rsidR="00C60850" w:rsidRPr="00856ECB">
        <w:rPr>
          <w:rFonts w:asciiTheme="majorBidi" w:hAnsiTheme="majorBidi" w:cstheme="majorBidi"/>
          <w:color w:val="000000" w:themeColor="text1"/>
        </w:rPr>
        <w:t xml:space="preserve"> </w:t>
      </w:r>
      <w:r w:rsidRPr="00856ECB">
        <w:rPr>
          <w:rFonts w:asciiTheme="majorBidi" w:hAnsiTheme="majorBidi" w:cstheme="majorBidi"/>
          <w:color w:val="000000" w:themeColor="text1"/>
        </w:rPr>
        <w:t xml:space="preserve">Moving forward, the focus of </w:t>
      </w:r>
      <w:proofErr w:type="spellStart"/>
      <w:r w:rsidR="009974DB" w:rsidRPr="00856ECB">
        <w:rPr>
          <w:rFonts w:asciiTheme="majorBidi" w:hAnsiTheme="majorBidi" w:cstheme="majorBidi"/>
          <w:color w:val="000000" w:themeColor="text1"/>
        </w:rPr>
        <w:t>synbiotics</w:t>
      </w:r>
      <w:proofErr w:type="spellEnd"/>
      <w:r w:rsidRPr="00856ECB">
        <w:rPr>
          <w:rFonts w:asciiTheme="majorBidi" w:hAnsiTheme="majorBidi" w:cstheme="majorBidi"/>
          <w:color w:val="000000" w:themeColor="text1"/>
        </w:rPr>
        <w:t xml:space="preserve"> development is expected to shift toward personalized formulations tailored to an individual’s unique </w:t>
      </w:r>
      <w:proofErr w:type="spellStart"/>
      <w:r w:rsidRPr="00856ECB">
        <w:rPr>
          <w:rFonts w:asciiTheme="majorBidi" w:hAnsiTheme="majorBidi" w:cstheme="majorBidi"/>
          <w:color w:val="000000" w:themeColor="text1"/>
        </w:rPr>
        <w:t>microbiota</w:t>
      </w:r>
      <w:proofErr w:type="spellEnd"/>
      <w:r w:rsidRPr="00856ECB">
        <w:rPr>
          <w:rFonts w:asciiTheme="majorBidi" w:hAnsiTheme="majorBidi" w:cstheme="majorBidi"/>
          <w:color w:val="000000" w:themeColor="text1"/>
        </w:rPr>
        <w:t xml:space="preserve"> composition. Advances in high-throughput sequencing and </w:t>
      </w:r>
      <w:proofErr w:type="spellStart"/>
      <w:r w:rsidRPr="00856ECB">
        <w:rPr>
          <w:rFonts w:asciiTheme="majorBidi" w:hAnsiTheme="majorBidi" w:cstheme="majorBidi"/>
          <w:color w:val="000000" w:themeColor="text1"/>
        </w:rPr>
        <w:t>microbiome</w:t>
      </w:r>
      <w:proofErr w:type="spellEnd"/>
      <w:r w:rsidRPr="00856ECB">
        <w:rPr>
          <w:rFonts w:asciiTheme="majorBidi" w:hAnsiTheme="majorBidi" w:cstheme="majorBidi"/>
          <w:color w:val="000000" w:themeColor="text1"/>
        </w:rPr>
        <w:t xml:space="preserve"> profiling now allow for the identification of individual microbial imbalances and deficiencies. This data can inform the design of targeted </w:t>
      </w:r>
      <w:proofErr w:type="spellStart"/>
      <w:r w:rsidR="009974DB" w:rsidRPr="00856ECB">
        <w:rPr>
          <w:rFonts w:asciiTheme="majorBidi" w:hAnsiTheme="majorBidi" w:cstheme="majorBidi"/>
          <w:color w:val="000000" w:themeColor="text1"/>
        </w:rPr>
        <w:t>synbiotics</w:t>
      </w:r>
      <w:proofErr w:type="spellEnd"/>
      <w:r w:rsidRPr="00856ECB">
        <w:rPr>
          <w:rFonts w:asciiTheme="majorBidi" w:hAnsiTheme="majorBidi" w:cstheme="majorBidi"/>
          <w:color w:val="000000" w:themeColor="text1"/>
        </w:rPr>
        <w:t xml:space="preserve"> interventions that not only restore gut microbial balance but also modulate specific physiological functions. Personalized </w:t>
      </w:r>
      <w:proofErr w:type="spellStart"/>
      <w:r w:rsidRPr="00856ECB">
        <w:rPr>
          <w:rFonts w:asciiTheme="majorBidi" w:hAnsiTheme="majorBidi" w:cstheme="majorBidi"/>
          <w:color w:val="000000" w:themeColor="text1"/>
        </w:rPr>
        <w:t>synbiotics</w:t>
      </w:r>
      <w:proofErr w:type="spellEnd"/>
      <w:r w:rsidRPr="00856ECB">
        <w:rPr>
          <w:rFonts w:asciiTheme="majorBidi" w:hAnsiTheme="majorBidi" w:cstheme="majorBidi"/>
          <w:color w:val="000000" w:themeColor="text1"/>
        </w:rPr>
        <w:t xml:space="preserve"> may aim to increase SCFA production, enhance mucosal immunity, and influence neural pathways by supporting the biosynthesis of neurotransmitters such as serotonin and GABA </w:t>
      </w:r>
      <w:r w:rsidR="001E0F32" w:rsidRPr="00856ECB">
        <w:rPr>
          <w:rFonts w:asciiTheme="majorBidi" w:hAnsiTheme="majorBidi" w:cstheme="majorBidi"/>
        </w:rPr>
        <w:fldChar w:fldCharType="begin"/>
      </w:r>
      <w:r w:rsidR="008B543B">
        <w:rPr>
          <w:rFonts w:asciiTheme="majorBidi" w:hAnsiTheme="majorBidi" w:cstheme="majorBidi"/>
        </w:rPr>
        <w:instrText xml:space="preserve"> ADDIN EN.CITE &lt;EndNote&gt;&lt;Cite&gt;&lt;Author&gt;Abouelela&lt;/Author&gt;&lt;Year&gt;2024&lt;/Year&gt;&lt;RecNum&gt;249&lt;/RecNum&gt;&lt;DisplayText&gt;(73, 74)&lt;/DisplayText&gt;&lt;record&gt;&lt;rec-number&gt;249&lt;/rec-number&gt;&lt;foreign-keys&gt;&lt;key app="EN" db-id="exwvr9fd40te9ner0f4ptrrorttf9svzawdd" timestamp="1751795794"&gt;249&lt;/key&gt;&lt;/foreign-keys&gt;&lt;ref-type name="Journal Article"&gt;17&lt;/ref-type&gt;&lt;contributors&gt;&lt;authors&gt;&lt;author&gt;Abouelela, Mohamed E&lt;/author&gt;&lt;author&gt;Helmy, Yosra A&lt;/author&gt;&lt;/authors&gt;&lt;/contributors&gt;&lt;titles&gt;&lt;title&gt;Next-generation probiotics as novel therapeutics for improving human health: current trends and future perspectives&lt;/title&gt;&lt;secondary-title&gt;Microorganisms&lt;/secondary-title&gt;&lt;/titles&gt;&lt;periodical&gt;&lt;full-title&gt;Microorganisms&lt;/full-title&gt;&lt;/periodical&gt;&lt;pages&gt;430&lt;/pages&gt;&lt;volume&gt;12&lt;/volume&gt;&lt;number&gt;3&lt;/number&gt;&lt;dates&gt;&lt;year&gt;2024&lt;/year&gt;&lt;/dates&gt;&lt;isbn&gt;2076-2607&lt;/isbn&gt;&lt;urls&gt;&lt;/urls&gt;&lt;/record&gt;&lt;/Cite&gt;&lt;Cite&gt;&lt;Author&gt;Nazir&lt;/Author&gt;&lt;Year&gt;2024&lt;/Year&gt;&lt;RecNum&gt;248&lt;/RecNum&gt;&lt;record&gt;&lt;rec-number&gt;248&lt;/rec-number&gt;&lt;foreign-keys&gt;&lt;key app="EN" db-id="exwvr9fd40te9ner0f4ptrrorttf9svzawdd" timestamp="1751795704"&gt;248&lt;/key&gt;&lt;/foreign-keys&gt;&lt;ref-type name="Journal Article"&gt;17&lt;/ref-type&gt;&lt;contributors&gt;&lt;authors&gt;&lt;author&gt;Nazir, Asiya&lt;/author&gt;&lt;author&gt;Hussain, Fathima Hasnain Nadeem&lt;/author&gt;&lt;author&gt;Raza, Afsheen&lt;/author&gt;&lt;/authors&gt;&lt;/contributors&gt;&lt;titles&gt;&lt;title&gt;Advancing microbiota therapeutics: the role of synthetic biology in engineering microbial communities for precision medicine&lt;/title&gt;&lt;secondary-title&gt;Frontiers in Bioengineering and Biotechnology&lt;/secondary-title&gt;&lt;/titles&gt;&lt;periodical&gt;&lt;full-title&gt;Frontiers in Bioengineering and Biotechnology&lt;/full-title&gt;&lt;/periodical&gt;&lt;pages&gt;1511149&lt;/pages&gt;&lt;volume&gt;12&lt;/volume&gt;&lt;dates&gt;&lt;year&gt;2024&lt;/year&gt;&lt;/dates&gt;&lt;isbn&gt;2296-4185&lt;/isbn&gt;&lt;urls&gt;&lt;/urls&gt;&lt;/record&gt;&lt;/Cite&gt;&lt;/EndNote&gt;</w:instrText>
      </w:r>
      <w:r w:rsidR="001E0F32" w:rsidRPr="00856ECB">
        <w:rPr>
          <w:rFonts w:asciiTheme="majorBidi" w:hAnsiTheme="majorBidi" w:cstheme="majorBidi"/>
        </w:rPr>
        <w:fldChar w:fldCharType="separate"/>
      </w:r>
      <w:r w:rsidR="008B543B">
        <w:rPr>
          <w:rFonts w:asciiTheme="majorBidi" w:hAnsiTheme="majorBidi" w:cstheme="majorBidi"/>
          <w:noProof/>
        </w:rPr>
        <w:t>(73, 74)</w:t>
      </w:r>
      <w:r w:rsidR="001E0F32" w:rsidRPr="00856ECB">
        <w:rPr>
          <w:rFonts w:asciiTheme="majorBidi" w:hAnsiTheme="majorBidi" w:cstheme="majorBidi"/>
        </w:rPr>
        <w:fldChar w:fldCharType="end"/>
      </w:r>
      <w:r w:rsidR="00943A31" w:rsidRPr="00856ECB">
        <w:rPr>
          <w:rFonts w:asciiTheme="majorBidi" w:hAnsiTheme="majorBidi" w:cstheme="majorBidi"/>
        </w:rPr>
        <w:t>.</w:t>
      </w:r>
      <w:r w:rsidR="00943A31" w:rsidRPr="00856ECB">
        <w:rPr>
          <w:rFonts w:asciiTheme="majorBidi" w:hAnsiTheme="majorBidi" w:cstheme="majorBidi"/>
          <w:color w:val="000000" w:themeColor="text1"/>
        </w:rPr>
        <w:t xml:space="preserve"> </w:t>
      </w:r>
      <w:r w:rsidRPr="00856ECB">
        <w:rPr>
          <w:rFonts w:asciiTheme="majorBidi" w:hAnsiTheme="majorBidi" w:cstheme="majorBidi"/>
          <w:color w:val="000000" w:themeColor="text1"/>
        </w:rPr>
        <w:t xml:space="preserve">This precision approach represents a significant leap in the application of </w:t>
      </w:r>
      <w:proofErr w:type="spellStart"/>
      <w:r w:rsidRPr="00856ECB">
        <w:rPr>
          <w:rFonts w:asciiTheme="majorBidi" w:hAnsiTheme="majorBidi" w:cstheme="majorBidi"/>
          <w:color w:val="000000" w:themeColor="text1"/>
        </w:rPr>
        <w:t>microbiome</w:t>
      </w:r>
      <w:proofErr w:type="spellEnd"/>
      <w:r w:rsidRPr="00856ECB">
        <w:rPr>
          <w:rFonts w:asciiTheme="majorBidi" w:hAnsiTheme="majorBidi" w:cstheme="majorBidi"/>
          <w:color w:val="000000" w:themeColor="text1"/>
        </w:rPr>
        <w:t xml:space="preserve"> science for individualized health optimization.</w:t>
      </w:r>
    </w:p>
    <w:p w14:paraId="153E1A9A" w14:textId="0A8F3920" w:rsidR="001E0F32" w:rsidRPr="00856ECB" w:rsidRDefault="001E0F32" w:rsidP="009A0C39">
      <w:pPr>
        <w:spacing w:line="276" w:lineRule="auto"/>
        <w:jc w:val="both"/>
        <w:rPr>
          <w:rFonts w:asciiTheme="majorBidi" w:hAnsiTheme="majorBidi" w:cstheme="majorBidi"/>
          <w:color w:val="000000" w:themeColor="text1"/>
        </w:rPr>
      </w:pPr>
    </w:p>
    <w:p w14:paraId="5298ABFE" w14:textId="64791D18" w:rsidR="001E0F32" w:rsidRPr="00AF54E6" w:rsidRDefault="00430919" w:rsidP="00AF54E6">
      <w:pPr>
        <w:spacing w:line="276" w:lineRule="auto"/>
        <w:jc w:val="both"/>
        <w:rPr>
          <w:rFonts w:asciiTheme="majorBidi" w:hAnsiTheme="majorBidi" w:cstheme="majorBidi"/>
          <w:color w:val="4472C4" w:themeColor="accent1"/>
        </w:rPr>
      </w:pPr>
      <w:r w:rsidRPr="00AF54E6">
        <w:rPr>
          <w:rFonts w:asciiTheme="majorBidi" w:hAnsiTheme="majorBidi" w:cstheme="majorBidi"/>
          <w:color w:val="4472C4" w:themeColor="accent1"/>
        </w:rPr>
        <w:t>Ethical consideratio</w:t>
      </w:r>
      <w:r w:rsidR="00F871B4" w:rsidRPr="00AF54E6">
        <w:rPr>
          <w:rFonts w:asciiTheme="majorBidi" w:hAnsiTheme="majorBidi" w:cstheme="majorBidi"/>
          <w:color w:val="4472C4" w:themeColor="accent1"/>
        </w:rPr>
        <w:t xml:space="preserve">n </w:t>
      </w:r>
    </w:p>
    <w:p w14:paraId="39350DE1" w14:textId="236AA6C1" w:rsidR="00F24CEE" w:rsidRPr="00856ECB" w:rsidRDefault="00562C40" w:rsidP="009A0C39">
      <w:pPr>
        <w:spacing w:line="276" w:lineRule="auto"/>
        <w:jc w:val="both"/>
        <w:rPr>
          <w:rFonts w:asciiTheme="majorBidi" w:hAnsiTheme="majorBidi" w:cstheme="majorBidi"/>
        </w:rPr>
      </w:pPr>
      <w:proofErr w:type="gramStart"/>
      <w:r w:rsidRPr="00856ECB">
        <w:rPr>
          <w:rFonts w:asciiTheme="majorBidi" w:hAnsiTheme="majorBidi" w:cstheme="majorBidi"/>
        </w:rPr>
        <w:t xml:space="preserve">While genetic engineering and synthetic biology offer transformative potential in </w:t>
      </w:r>
      <w:proofErr w:type="spellStart"/>
      <w:r w:rsidRPr="00856ECB">
        <w:rPr>
          <w:rFonts w:asciiTheme="majorBidi" w:hAnsiTheme="majorBidi" w:cstheme="majorBidi"/>
        </w:rPr>
        <w:t>microbiome</w:t>
      </w:r>
      <w:proofErr w:type="spellEnd"/>
      <w:r w:rsidRPr="00856ECB">
        <w:rPr>
          <w:rFonts w:asciiTheme="majorBidi" w:hAnsiTheme="majorBidi" w:cstheme="majorBidi"/>
        </w:rPr>
        <w:t>-based therapies, their application raises critical ethical and biosafety concerns.</w:t>
      </w:r>
      <w:proofErr w:type="gramEnd"/>
      <w:r w:rsidRPr="00856ECB">
        <w:rPr>
          <w:rFonts w:asciiTheme="majorBidi" w:hAnsiTheme="majorBidi" w:cstheme="majorBidi"/>
        </w:rPr>
        <w:t xml:space="preserve"> Key challenges include maintaining the genetic stability and containment of engineered microbes within the complex human gut ecosystem. There is also the risk of unintended consequences, such as </w:t>
      </w:r>
      <w:proofErr w:type="spellStart"/>
      <w:r w:rsidRPr="00856ECB">
        <w:rPr>
          <w:rFonts w:asciiTheme="majorBidi" w:hAnsiTheme="majorBidi" w:cstheme="majorBidi"/>
        </w:rPr>
        <w:t>dysbiosis</w:t>
      </w:r>
      <w:proofErr w:type="spellEnd"/>
      <w:r w:rsidRPr="00856ECB">
        <w:rPr>
          <w:rFonts w:asciiTheme="majorBidi" w:hAnsiTheme="majorBidi" w:cstheme="majorBidi"/>
        </w:rPr>
        <w:t xml:space="preserve">, immune </w:t>
      </w:r>
      <w:proofErr w:type="spellStart"/>
      <w:r w:rsidRPr="00856ECB">
        <w:rPr>
          <w:rFonts w:asciiTheme="majorBidi" w:hAnsiTheme="majorBidi" w:cstheme="majorBidi"/>
        </w:rPr>
        <w:t>dysregulation</w:t>
      </w:r>
      <w:proofErr w:type="spellEnd"/>
      <w:r w:rsidRPr="00856ECB">
        <w:rPr>
          <w:rFonts w:asciiTheme="majorBidi" w:hAnsiTheme="majorBidi" w:cstheme="majorBidi"/>
        </w:rPr>
        <w:t xml:space="preserve">, or interference with resident beneficial microbes. Additional concerns include the potential for horizontal gene transfer, ecological unpredictability, and gene dissemination via bacteriophages. Addressing these risks requires rigorous regulatory frameworks, robust biosafety measures such as kill switches, and the integration of systems biology approaches for dynamic modeling and risk prediction </w:t>
      </w:r>
      <w:r w:rsidR="00F24CEE" w:rsidRPr="00856ECB">
        <w:rPr>
          <w:rFonts w:asciiTheme="majorBidi" w:hAnsiTheme="majorBidi" w:cstheme="majorBidi"/>
        </w:rPr>
        <w:fldChar w:fldCharType="begin"/>
      </w:r>
      <w:r w:rsidR="008B543B">
        <w:rPr>
          <w:rFonts w:asciiTheme="majorBidi" w:hAnsiTheme="majorBidi" w:cstheme="majorBidi"/>
        </w:rPr>
        <w:instrText xml:space="preserve"> ADDIN EN.CITE &lt;EndNote&gt;&lt;Cite&gt;&lt;Author&gt;Nazir&lt;/Author&gt;&lt;Year&gt;2024&lt;/Year&gt;&lt;RecNum&gt;248&lt;/RecNum&gt;&lt;DisplayText&gt;(74, 75)&lt;/DisplayText&gt;&lt;record&gt;&lt;rec-number&gt;248&lt;/rec-number&gt;&lt;foreign-keys&gt;&lt;key app="EN" db-id="exwvr9fd40te9ner0f4ptrrorttf9svzawdd" timestamp="1751795704"&gt;248&lt;/key&gt;&lt;/foreign-keys&gt;&lt;ref-type name="Journal Article"&gt;17&lt;/ref-type&gt;&lt;contributors&gt;&lt;authors&gt;&lt;author&gt;Nazir, Asiya&lt;/author&gt;&lt;author&gt;Hussain, Fathima Hasnain Nadeem&lt;/author&gt;&lt;author&gt;Raza, Afsheen&lt;/author&gt;&lt;/authors&gt;&lt;/contributors&gt;&lt;titles&gt;&lt;title&gt;Advancing microbiota therapeutics: the role of synthetic biology in engineering microbial communities for precision medicine&lt;/title&gt;&lt;secondary-title&gt;Frontiers in Bioengineering and Biotechnology&lt;/secondary-title&gt;&lt;/titles&gt;&lt;periodical&gt;&lt;full-title&gt;Frontiers in Bioengineering and Biotechnology&lt;/full-title&gt;&lt;/periodical&gt;&lt;pages&gt;1511149&lt;/pages&gt;&lt;volume&gt;12&lt;/volume&gt;&lt;dates&gt;&lt;year&gt;2024&lt;/year&gt;&lt;/dates&gt;&lt;isbn&gt;2296-4185&lt;/isbn&gt;&lt;urls&gt;&lt;/urls&gt;&lt;/record&gt;&lt;/Cite&gt;&lt;Cite&gt;&lt;Author&gt;Cruz&lt;/Author&gt;&lt;Year&gt;2022&lt;/Year&gt;&lt;RecNum&gt;252&lt;/RecNum&gt;&lt;record&gt;&lt;rec-number&gt;252&lt;/rec-number&gt;&lt;foreign-keys&gt;&lt;key app="EN" db-id="exwvr9fd40te9ner0f4ptrrorttf9svzawdd" timestamp="1751799067"&gt;252&lt;/key&gt;&lt;/foreign-keys&gt;&lt;ref-type name="Journal Article"&gt;17&lt;/ref-type&gt;&lt;contributors&gt;&lt;authors&gt;&lt;author&gt;Cruz, Karla Cristina P&lt;/author&gt;&lt;author&gt;Enekegho, Laura O&lt;/author&gt;&lt;author&gt;Stuart, David T&lt;/author&gt;&lt;/authors&gt;&lt;/contributors&gt;&lt;titles&gt;&lt;title&gt;Bioengineered probiotics: synthetic biology can provide live cell therapeutics for the treatment of foodborne diseases&lt;/title&gt;&lt;secondary-title&gt;Frontiers in bioengineering and biotechnology&lt;/secondary-title&gt;&lt;/titles&gt;&lt;periodical&gt;&lt;full-title&gt;Frontiers in Bioengineering and Biotechnology&lt;/full-title&gt;&lt;/periodical&gt;&lt;pages&gt;890479&lt;/pages&gt;&lt;volume&gt;10&lt;/volume&gt;&lt;dates&gt;&lt;year&gt;2022&lt;/year&gt;&lt;/dates&gt;&lt;isbn&gt;2296-4185&lt;/isbn&gt;&lt;urls&gt;&lt;/urls&gt;&lt;/record&gt;&lt;/Cite&gt;&lt;/EndNote&gt;</w:instrText>
      </w:r>
      <w:r w:rsidR="00F24CEE" w:rsidRPr="00856ECB">
        <w:rPr>
          <w:rFonts w:asciiTheme="majorBidi" w:hAnsiTheme="majorBidi" w:cstheme="majorBidi"/>
        </w:rPr>
        <w:fldChar w:fldCharType="separate"/>
      </w:r>
      <w:r w:rsidR="008B543B">
        <w:rPr>
          <w:rFonts w:asciiTheme="majorBidi" w:hAnsiTheme="majorBidi" w:cstheme="majorBidi"/>
          <w:noProof/>
        </w:rPr>
        <w:t>(74, 75)</w:t>
      </w:r>
      <w:r w:rsidR="00F24CEE" w:rsidRPr="00856ECB">
        <w:rPr>
          <w:rFonts w:asciiTheme="majorBidi" w:hAnsiTheme="majorBidi" w:cstheme="majorBidi"/>
        </w:rPr>
        <w:fldChar w:fldCharType="end"/>
      </w:r>
      <w:r w:rsidR="00F24CEE" w:rsidRPr="00856ECB">
        <w:rPr>
          <w:rFonts w:asciiTheme="majorBidi" w:hAnsiTheme="majorBidi" w:cstheme="majorBidi"/>
        </w:rPr>
        <w:t>.</w:t>
      </w:r>
    </w:p>
    <w:p w14:paraId="5D136BC4" w14:textId="06D7FD4B" w:rsidR="00152833" w:rsidRPr="00856ECB" w:rsidRDefault="00152833" w:rsidP="009A0C39">
      <w:pPr>
        <w:pStyle w:val="ListParagraph"/>
        <w:spacing w:line="276" w:lineRule="auto"/>
        <w:ind w:left="480"/>
        <w:jc w:val="both"/>
        <w:rPr>
          <w:rFonts w:asciiTheme="majorBidi" w:hAnsiTheme="majorBidi" w:cstheme="majorBidi"/>
        </w:rPr>
      </w:pPr>
    </w:p>
    <w:p w14:paraId="330279E5" w14:textId="77777777" w:rsidR="0045492B" w:rsidRPr="00856ECB" w:rsidRDefault="0045492B" w:rsidP="009A0C39">
      <w:pPr>
        <w:spacing w:line="276" w:lineRule="auto"/>
        <w:jc w:val="both"/>
        <w:rPr>
          <w:rFonts w:asciiTheme="majorBidi" w:hAnsiTheme="majorBidi" w:cstheme="majorBidi"/>
        </w:rPr>
      </w:pPr>
      <w:r w:rsidRPr="00856ECB">
        <w:rPr>
          <w:rFonts w:asciiTheme="majorBidi" w:hAnsiTheme="majorBidi" w:cstheme="majorBidi"/>
        </w:rPr>
        <w:t xml:space="preserve">Another important ethical aspect involves ensuring safety, transparency, and responsible use of microbial therapies, particularly in vulnerable populations such as </w:t>
      </w:r>
      <w:proofErr w:type="spellStart"/>
      <w:r w:rsidRPr="00856ECB">
        <w:rPr>
          <w:rFonts w:asciiTheme="majorBidi" w:hAnsiTheme="majorBidi" w:cstheme="majorBidi"/>
        </w:rPr>
        <w:t>immunocompromised</w:t>
      </w:r>
      <w:proofErr w:type="spellEnd"/>
      <w:r w:rsidRPr="00856ECB">
        <w:rPr>
          <w:rFonts w:asciiTheme="majorBidi" w:hAnsiTheme="majorBidi" w:cstheme="majorBidi"/>
        </w:rPr>
        <w:t xml:space="preserve"> individuals, pregnant or lactating women, and preterm infants. Although adverse events like sepsis remain rare, continuous monitoring and clear reporting of both risks and benefits are essential. For instance, while probiotics are generally regarded as safe during pregnancy, increased vigilance is warranted in cases with a predisposition to complications such as pre-</w:t>
      </w:r>
      <w:proofErr w:type="spellStart"/>
      <w:r w:rsidRPr="00856ECB">
        <w:rPr>
          <w:rFonts w:asciiTheme="majorBidi" w:hAnsiTheme="majorBidi" w:cstheme="majorBidi"/>
        </w:rPr>
        <w:t>eclampsia</w:t>
      </w:r>
      <w:proofErr w:type="spellEnd"/>
      <w:r w:rsidRPr="00856ECB">
        <w:rPr>
          <w:rFonts w:asciiTheme="majorBidi" w:hAnsiTheme="majorBidi" w:cstheme="majorBidi"/>
        </w:rPr>
        <w:t>.</w:t>
      </w:r>
    </w:p>
    <w:p w14:paraId="010B11F3" w14:textId="77777777" w:rsidR="0045492B" w:rsidRPr="00856ECB" w:rsidRDefault="0045492B" w:rsidP="009A0C39">
      <w:pPr>
        <w:spacing w:line="276" w:lineRule="auto"/>
        <w:jc w:val="both"/>
        <w:rPr>
          <w:rFonts w:asciiTheme="majorBidi" w:hAnsiTheme="majorBidi" w:cstheme="majorBidi"/>
        </w:rPr>
      </w:pPr>
    </w:p>
    <w:p w14:paraId="5750FF6F" w14:textId="4437A9F4" w:rsidR="00152833" w:rsidRPr="00856ECB" w:rsidRDefault="0045492B" w:rsidP="009A0C39">
      <w:pPr>
        <w:spacing w:line="276" w:lineRule="auto"/>
        <w:jc w:val="both"/>
        <w:rPr>
          <w:rFonts w:asciiTheme="majorBidi" w:hAnsiTheme="majorBidi" w:cstheme="majorBidi"/>
        </w:rPr>
      </w:pPr>
      <w:r w:rsidRPr="00856ECB">
        <w:rPr>
          <w:rFonts w:asciiTheme="majorBidi" w:hAnsiTheme="majorBidi" w:cstheme="majorBidi"/>
        </w:rPr>
        <w:t>In neonatal care, where data on long-term outcomes remain limited, follow-up periods of at least two years are recommended to assess immune, metabolic, and developmental safety. Additionally, product quality should be guaranteed through third-party verification of strain identity, potency, and purity. Transparent labeling, standardized reporting of adverse events (including definitions, absolute risks, and reasons for participant withdrawal), and collaboration between healthcare professionals, researchers, and manufacturers are essential for ensuring public trust and responsible clinical application</w:t>
      </w:r>
      <w:r w:rsidR="00152833" w:rsidRPr="00856ECB">
        <w:rPr>
          <w:rFonts w:asciiTheme="majorBidi" w:hAnsiTheme="majorBidi" w:cstheme="majorBidi"/>
        </w:rPr>
        <w:t xml:space="preserve"> </w:t>
      </w:r>
      <w:r w:rsidR="00152833" w:rsidRPr="00856ECB">
        <w:rPr>
          <w:rFonts w:asciiTheme="majorBidi" w:hAnsiTheme="majorBidi" w:cstheme="majorBidi"/>
        </w:rPr>
        <w:fldChar w:fldCharType="begin"/>
      </w:r>
      <w:r w:rsidR="008B543B">
        <w:rPr>
          <w:rFonts w:asciiTheme="majorBidi" w:hAnsiTheme="majorBidi" w:cstheme="majorBidi"/>
        </w:rPr>
        <w:instrText xml:space="preserve"> ADDIN EN.CITE &lt;EndNote&gt;&lt;Cite&gt;&lt;Author&gt;Merenstein&lt;/Author&gt;&lt;Year&gt;2023&lt;/Year&gt;&lt;RecNum&gt;246&lt;/RecNum&gt;&lt;DisplayText&gt;(76)&lt;/DisplayText&gt;&lt;record&gt;&lt;rec-number&gt;246&lt;/rec-number&gt;&lt;foreign-keys&gt;&lt;key app="EN" db-id="exwvr9fd40te9ner0f4ptrrorttf9svzawdd" timestamp="1751795463"&gt;246&lt;/key&gt;&lt;/foreign-keys&gt;&lt;ref-type name="Journal Article"&gt;17&lt;/ref-type&gt;&lt;contributors&gt;&lt;authors&gt;&lt;author&gt;Merenstein, Daniel&lt;/author&gt;&lt;author&gt;Pot, Bruno&lt;/author&gt;&lt;author&gt;Leyer, Gregory&lt;/author&gt;&lt;author&gt;Ouwehand, Arthur C&lt;/author&gt;&lt;author&gt;Preidis, Geoffrey A&lt;/author&gt;&lt;author&gt;Elkins, Christopher A&lt;/author&gt;&lt;author&gt;Hill, Colin&lt;/author&gt;&lt;author&gt;Lewis, Zachery T&lt;/author&gt;&lt;author&gt;Shane, Andi L&lt;/author&gt;&lt;author&gt;Zmora, Niv&lt;/author&gt;&lt;/authors&gt;&lt;/contributors&gt;&lt;titles&gt;&lt;title&gt;Emerging issues in probiotic safety: 2023 perspectives&lt;/title&gt;&lt;secondary-title&gt;Gut microbes&lt;/secondary-title&gt;&lt;/titles&gt;&lt;periodical&gt;&lt;full-title&gt;Gut microbes&lt;/full-title&gt;&lt;/periodical&gt;&lt;pages&gt;2185034&lt;/pages&gt;&lt;volume&gt;15&lt;/volume&gt;&lt;number&gt;1&lt;/number&gt;&lt;dates&gt;&lt;year&gt;2023&lt;/year&gt;&lt;/dates&gt;&lt;isbn&gt;1949-0976&lt;/isbn&gt;&lt;urls&gt;&lt;/urls&gt;&lt;/record&gt;&lt;/Cite&gt;&lt;/EndNote&gt;</w:instrText>
      </w:r>
      <w:r w:rsidR="00152833" w:rsidRPr="00856ECB">
        <w:rPr>
          <w:rFonts w:asciiTheme="majorBidi" w:hAnsiTheme="majorBidi" w:cstheme="majorBidi"/>
        </w:rPr>
        <w:fldChar w:fldCharType="separate"/>
      </w:r>
      <w:r w:rsidR="008B543B">
        <w:rPr>
          <w:rFonts w:asciiTheme="majorBidi" w:hAnsiTheme="majorBidi" w:cstheme="majorBidi"/>
          <w:noProof/>
        </w:rPr>
        <w:t>(76)</w:t>
      </w:r>
      <w:r w:rsidR="00152833" w:rsidRPr="00856ECB">
        <w:rPr>
          <w:rFonts w:asciiTheme="majorBidi" w:hAnsiTheme="majorBidi" w:cstheme="majorBidi"/>
        </w:rPr>
        <w:fldChar w:fldCharType="end"/>
      </w:r>
      <w:r w:rsidR="00152833" w:rsidRPr="00856ECB">
        <w:rPr>
          <w:rFonts w:asciiTheme="majorBidi" w:hAnsiTheme="majorBidi" w:cstheme="majorBidi"/>
        </w:rPr>
        <w:t>.</w:t>
      </w:r>
    </w:p>
    <w:p w14:paraId="25C2EB9B" w14:textId="228B085F" w:rsidR="00025ED1" w:rsidRPr="00856ECB" w:rsidRDefault="000A36B0" w:rsidP="009A0C39">
      <w:pPr>
        <w:pStyle w:val="ListParagraph"/>
        <w:tabs>
          <w:tab w:val="left" w:pos="8080"/>
        </w:tabs>
        <w:spacing w:line="276" w:lineRule="auto"/>
        <w:ind w:left="480"/>
        <w:jc w:val="both"/>
        <w:rPr>
          <w:rFonts w:asciiTheme="majorBidi" w:hAnsiTheme="majorBidi" w:cstheme="majorBidi"/>
        </w:rPr>
      </w:pPr>
      <w:r w:rsidRPr="00856ECB">
        <w:rPr>
          <w:rFonts w:asciiTheme="majorBidi" w:hAnsiTheme="majorBidi" w:cstheme="majorBidi"/>
        </w:rPr>
        <w:tab/>
      </w:r>
    </w:p>
    <w:p w14:paraId="338457ED" w14:textId="772DFF14" w:rsidR="00025ED1" w:rsidRPr="00856ECB" w:rsidRDefault="00025ED1" w:rsidP="009A0C39">
      <w:pPr>
        <w:pStyle w:val="ListParagraph"/>
        <w:spacing w:line="276" w:lineRule="auto"/>
        <w:ind w:left="480"/>
        <w:jc w:val="both"/>
        <w:rPr>
          <w:rFonts w:asciiTheme="majorBidi" w:hAnsiTheme="majorBidi" w:cstheme="majorBidi"/>
        </w:rPr>
      </w:pPr>
    </w:p>
    <w:p w14:paraId="3A9F9641" w14:textId="52727F16" w:rsidR="00025ED1" w:rsidRPr="00856ECB" w:rsidRDefault="00025ED1" w:rsidP="00AF54E6">
      <w:pPr>
        <w:pStyle w:val="Heading2"/>
        <w:jc w:val="both"/>
        <w:rPr>
          <w:rFonts w:asciiTheme="majorBidi" w:hAnsiTheme="majorBidi"/>
          <w:sz w:val="24"/>
          <w:szCs w:val="24"/>
        </w:rPr>
      </w:pPr>
      <w:proofErr w:type="gramStart"/>
      <w:r w:rsidRPr="00856ECB">
        <w:rPr>
          <w:rFonts w:asciiTheme="majorBidi" w:hAnsiTheme="majorBidi"/>
          <w:sz w:val="24"/>
          <w:szCs w:val="24"/>
        </w:rPr>
        <w:lastRenderedPageBreak/>
        <w:t>conclusion</w:t>
      </w:r>
      <w:proofErr w:type="gramEnd"/>
    </w:p>
    <w:p w14:paraId="2B7433B7" w14:textId="34A11ECE" w:rsidR="00A52CA3" w:rsidRPr="00856ECB" w:rsidRDefault="00A52CA3" w:rsidP="009A0C39">
      <w:pPr>
        <w:jc w:val="both"/>
        <w:rPr>
          <w:rFonts w:asciiTheme="majorBidi" w:hAnsiTheme="majorBidi" w:cstheme="majorBidi"/>
        </w:rPr>
      </w:pPr>
      <w:r w:rsidRPr="00856ECB">
        <w:rPr>
          <w:rFonts w:asciiTheme="majorBidi" w:hAnsiTheme="majorBidi" w:cstheme="majorBidi"/>
        </w:rPr>
        <w:t xml:space="preserve"> </w:t>
      </w:r>
    </w:p>
    <w:p w14:paraId="77EB8567" w14:textId="4C5A4E1B" w:rsidR="002547BD" w:rsidRPr="00856ECB" w:rsidRDefault="009A0C39" w:rsidP="00776755">
      <w:pPr>
        <w:spacing w:line="276" w:lineRule="auto"/>
        <w:jc w:val="both"/>
        <w:rPr>
          <w:rFonts w:asciiTheme="majorBidi" w:hAnsiTheme="majorBidi" w:cstheme="majorBidi"/>
        </w:rPr>
      </w:pPr>
      <w:r w:rsidRPr="00856ECB">
        <w:rPr>
          <w:rFonts w:asciiTheme="majorBidi" w:hAnsiTheme="majorBidi" w:cstheme="majorBidi"/>
        </w:rPr>
        <w:t xml:space="preserve">The gut </w:t>
      </w:r>
      <w:proofErr w:type="spellStart"/>
      <w:r w:rsidRPr="00856ECB">
        <w:rPr>
          <w:rFonts w:asciiTheme="majorBidi" w:hAnsiTheme="majorBidi" w:cstheme="majorBidi"/>
        </w:rPr>
        <w:t>microbiome</w:t>
      </w:r>
      <w:proofErr w:type="spellEnd"/>
      <w:r w:rsidRPr="00856ECB">
        <w:rPr>
          <w:rFonts w:asciiTheme="majorBidi" w:hAnsiTheme="majorBidi" w:cstheme="majorBidi"/>
        </w:rPr>
        <w:t xml:space="preserve"> plays a fundamental role in regulating human health through its bidirectional communication with the gut-brain axis. </w:t>
      </w:r>
      <w:proofErr w:type="spellStart"/>
      <w:r w:rsidRPr="00856ECB">
        <w:rPr>
          <w:rFonts w:asciiTheme="majorBidi" w:hAnsiTheme="majorBidi" w:cstheme="majorBidi"/>
        </w:rPr>
        <w:t>Dysbiosis</w:t>
      </w:r>
      <w:proofErr w:type="spellEnd"/>
      <w:r w:rsidR="009974DB" w:rsidRPr="00856ECB">
        <w:rPr>
          <w:rFonts w:asciiTheme="majorBidi" w:hAnsiTheme="majorBidi" w:cstheme="majorBidi"/>
        </w:rPr>
        <w:t xml:space="preserve"> </w:t>
      </w:r>
      <w:r w:rsidRPr="00856ECB">
        <w:rPr>
          <w:rFonts w:asciiTheme="majorBidi" w:hAnsiTheme="majorBidi" w:cstheme="majorBidi"/>
        </w:rPr>
        <w:t xml:space="preserve">has been implicated in the pathogenesis of numerous chronic conditions, including inflammatory, metabolic, and neurodegenerative disorders. Advances in </w:t>
      </w:r>
      <w:proofErr w:type="spellStart"/>
      <w:r w:rsidRPr="00856ECB">
        <w:rPr>
          <w:rFonts w:asciiTheme="majorBidi" w:hAnsiTheme="majorBidi" w:cstheme="majorBidi"/>
        </w:rPr>
        <w:t>metagenomics</w:t>
      </w:r>
      <w:proofErr w:type="spellEnd"/>
      <w:r w:rsidRPr="00856ECB">
        <w:rPr>
          <w:rFonts w:asciiTheme="majorBidi" w:hAnsiTheme="majorBidi" w:cstheme="majorBidi"/>
        </w:rPr>
        <w:t xml:space="preserve">, synthetic biology, and genome editing have significantly enhanced our ability to functionally characterize and manipulate the </w:t>
      </w:r>
      <w:proofErr w:type="spellStart"/>
      <w:r w:rsidRPr="00856ECB">
        <w:rPr>
          <w:rFonts w:asciiTheme="majorBidi" w:hAnsiTheme="majorBidi" w:cstheme="majorBidi"/>
        </w:rPr>
        <w:t>microbiota</w:t>
      </w:r>
      <w:proofErr w:type="spellEnd"/>
      <w:r w:rsidRPr="00856ECB">
        <w:rPr>
          <w:rFonts w:asciiTheme="majorBidi" w:hAnsiTheme="majorBidi" w:cstheme="majorBidi"/>
        </w:rPr>
        <w:t xml:space="preserve">, laying the foundation for novel therapeutic strategies. Emerging gene-editing technologies, such as CRISPR-Cas9, have enabled the development of genetically engineered probiotics, synthetic </w:t>
      </w:r>
      <w:proofErr w:type="spellStart"/>
      <w:r w:rsidRPr="00856ECB">
        <w:rPr>
          <w:rFonts w:asciiTheme="majorBidi" w:hAnsiTheme="majorBidi" w:cstheme="majorBidi"/>
        </w:rPr>
        <w:t>postbiotics</w:t>
      </w:r>
      <w:proofErr w:type="spellEnd"/>
      <w:r w:rsidRPr="00856ECB">
        <w:rPr>
          <w:rFonts w:asciiTheme="majorBidi" w:hAnsiTheme="majorBidi" w:cstheme="majorBidi"/>
        </w:rPr>
        <w:t xml:space="preserve">, recombinant protein expression systems, and customized microbial chassis. These innovations support the goals of precision medicine by enabling the targeted modulation of </w:t>
      </w:r>
      <w:proofErr w:type="spellStart"/>
      <w:r w:rsidRPr="00856ECB">
        <w:rPr>
          <w:rFonts w:asciiTheme="majorBidi" w:hAnsiTheme="majorBidi" w:cstheme="majorBidi"/>
        </w:rPr>
        <w:t>microbiota</w:t>
      </w:r>
      <w:proofErr w:type="spellEnd"/>
      <w:r w:rsidRPr="00856ECB">
        <w:rPr>
          <w:rFonts w:asciiTheme="majorBidi" w:hAnsiTheme="majorBidi" w:cstheme="majorBidi"/>
        </w:rPr>
        <w:t xml:space="preserve">-derived functions such as neurotransmitter synthesis, immune regulation, and epithelial barrier maintenance. Despite this progress, several key challenges hinder clinical application. These include maintaining the stability of engineered genetic circuits, preventing unintended gene transfer, minimizing off-target immune responses, and implementing robust </w:t>
      </w:r>
      <w:proofErr w:type="spellStart"/>
      <w:r w:rsidRPr="00856ECB">
        <w:rPr>
          <w:rFonts w:asciiTheme="majorBidi" w:hAnsiTheme="majorBidi" w:cstheme="majorBidi"/>
        </w:rPr>
        <w:t>biocontainment</w:t>
      </w:r>
      <w:proofErr w:type="spellEnd"/>
      <w:r w:rsidRPr="00856ECB">
        <w:rPr>
          <w:rFonts w:asciiTheme="majorBidi" w:hAnsiTheme="majorBidi" w:cstheme="majorBidi"/>
        </w:rPr>
        <w:t xml:space="preserve"> mechanisms such as kill-switch systems. Addressing these challenges requires a systems-level approach supported by multi-</w:t>
      </w:r>
      <w:proofErr w:type="spellStart"/>
      <w:r w:rsidRPr="00856ECB">
        <w:rPr>
          <w:rFonts w:asciiTheme="majorBidi" w:hAnsiTheme="majorBidi" w:cstheme="majorBidi"/>
        </w:rPr>
        <w:t>omics</w:t>
      </w:r>
      <w:proofErr w:type="spellEnd"/>
      <w:r w:rsidRPr="00856ECB">
        <w:rPr>
          <w:rFonts w:asciiTheme="majorBidi" w:hAnsiTheme="majorBidi" w:cstheme="majorBidi"/>
        </w:rPr>
        <w:t xml:space="preserve"> integration—including </w:t>
      </w:r>
      <w:proofErr w:type="spellStart"/>
      <w:r w:rsidRPr="00856ECB">
        <w:rPr>
          <w:rFonts w:asciiTheme="majorBidi" w:hAnsiTheme="majorBidi" w:cstheme="majorBidi"/>
        </w:rPr>
        <w:t>metagenomics</w:t>
      </w:r>
      <w:proofErr w:type="spellEnd"/>
      <w:r w:rsidRPr="00856ECB">
        <w:rPr>
          <w:rFonts w:asciiTheme="majorBidi" w:hAnsiTheme="majorBidi" w:cstheme="majorBidi"/>
        </w:rPr>
        <w:t xml:space="preserve">, </w:t>
      </w:r>
      <w:proofErr w:type="spellStart"/>
      <w:r w:rsidRPr="00856ECB">
        <w:rPr>
          <w:rFonts w:asciiTheme="majorBidi" w:hAnsiTheme="majorBidi" w:cstheme="majorBidi"/>
        </w:rPr>
        <w:t>transcriptomics</w:t>
      </w:r>
      <w:proofErr w:type="spellEnd"/>
      <w:r w:rsidRPr="00856ECB">
        <w:rPr>
          <w:rFonts w:asciiTheme="majorBidi" w:hAnsiTheme="majorBidi" w:cstheme="majorBidi"/>
        </w:rPr>
        <w:t>, metabolomics, and proteomics—to comprehensively map host-</w:t>
      </w:r>
      <w:proofErr w:type="spellStart"/>
      <w:r w:rsidRPr="00856ECB">
        <w:rPr>
          <w:rFonts w:asciiTheme="majorBidi" w:hAnsiTheme="majorBidi" w:cstheme="majorBidi"/>
        </w:rPr>
        <w:t>microbiota</w:t>
      </w:r>
      <w:proofErr w:type="spellEnd"/>
      <w:r w:rsidRPr="00856ECB">
        <w:rPr>
          <w:rFonts w:asciiTheme="majorBidi" w:hAnsiTheme="majorBidi" w:cstheme="majorBidi"/>
        </w:rPr>
        <w:t xml:space="preserve"> interactions and predict therapeutic outcomes. Additionally, the use of advanced computational tools, including artificial intelligence (AI)-driven design and simulation, along with the establishment of standardized regulatory frameworks, will be essential for ensuring the efficacy, reproducibility, and safety of these interventions. Ultimately, the convergence of microbiology, bioengineering, and data science offers a promising pathway for transforming </w:t>
      </w:r>
      <w:proofErr w:type="spellStart"/>
      <w:r w:rsidRPr="00856ECB">
        <w:rPr>
          <w:rFonts w:asciiTheme="majorBidi" w:hAnsiTheme="majorBidi" w:cstheme="majorBidi"/>
        </w:rPr>
        <w:t>microbiome</w:t>
      </w:r>
      <w:proofErr w:type="spellEnd"/>
      <w:r w:rsidRPr="00856ECB">
        <w:rPr>
          <w:rFonts w:asciiTheme="majorBidi" w:hAnsiTheme="majorBidi" w:cstheme="majorBidi"/>
        </w:rPr>
        <w:t xml:space="preserve"> research into practical, individualized solutions for managing chronic diseases in clinical settings.</w:t>
      </w:r>
    </w:p>
    <w:p w14:paraId="6AC0B6BD" w14:textId="7E2F67B8" w:rsidR="007F05CE" w:rsidRPr="00856ECB" w:rsidRDefault="007F05CE" w:rsidP="009A0C39">
      <w:pPr>
        <w:spacing w:line="276" w:lineRule="auto"/>
        <w:jc w:val="both"/>
        <w:rPr>
          <w:rFonts w:asciiTheme="majorBidi" w:hAnsiTheme="majorBidi" w:cstheme="majorBidi"/>
          <w:color w:val="000000" w:themeColor="text1"/>
        </w:rPr>
      </w:pPr>
    </w:p>
    <w:p w14:paraId="409C39CF" w14:textId="44628534" w:rsidR="00776755" w:rsidRPr="00856ECB" w:rsidRDefault="00776755" w:rsidP="009A0C39">
      <w:pPr>
        <w:spacing w:line="276" w:lineRule="auto"/>
        <w:jc w:val="both"/>
        <w:rPr>
          <w:rFonts w:asciiTheme="majorBidi" w:hAnsiTheme="majorBidi" w:cstheme="majorBidi"/>
          <w:color w:val="000000" w:themeColor="text1"/>
          <w:rtl/>
        </w:rPr>
      </w:pPr>
      <w:bookmarkStart w:id="10" w:name="_GoBack"/>
      <w:bookmarkEnd w:id="10"/>
    </w:p>
    <w:p w14:paraId="129CEEEA" w14:textId="0DC24CA2" w:rsidR="00776755" w:rsidRPr="00856ECB" w:rsidRDefault="00776755" w:rsidP="009A0C39">
      <w:pPr>
        <w:spacing w:line="276" w:lineRule="auto"/>
        <w:jc w:val="both"/>
        <w:rPr>
          <w:rFonts w:asciiTheme="majorBidi" w:hAnsiTheme="majorBidi" w:cstheme="majorBidi"/>
          <w:color w:val="000000" w:themeColor="text1"/>
        </w:rPr>
      </w:pPr>
      <w:proofErr w:type="spellStart"/>
      <w:r w:rsidRPr="00856ECB">
        <w:rPr>
          <w:rFonts w:asciiTheme="majorBidi" w:hAnsiTheme="majorBidi" w:cstheme="majorBidi"/>
          <w:b/>
          <w:bCs/>
          <w:color w:val="000000" w:themeColor="text1"/>
        </w:rPr>
        <w:t>Confilict</w:t>
      </w:r>
      <w:proofErr w:type="spellEnd"/>
      <w:r w:rsidRPr="00856ECB">
        <w:rPr>
          <w:rFonts w:asciiTheme="majorBidi" w:hAnsiTheme="majorBidi" w:cstheme="majorBidi"/>
          <w:b/>
          <w:bCs/>
          <w:color w:val="000000" w:themeColor="text1"/>
        </w:rPr>
        <w:t xml:space="preserve"> of interest:</w:t>
      </w:r>
      <w:r w:rsidRPr="00856ECB">
        <w:rPr>
          <w:rFonts w:asciiTheme="majorBidi" w:hAnsiTheme="majorBidi" w:cstheme="majorBidi"/>
          <w:color w:val="000000" w:themeColor="text1"/>
        </w:rPr>
        <w:t xml:space="preserve"> The authors declare that they have no known competing financial or personal relationships that could have appeared to influence the work reported in this paper.</w:t>
      </w:r>
    </w:p>
    <w:p w14:paraId="7202A95B" w14:textId="6B280556" w:rsidR="00776755" w:rsidRPr="00856ECB" w:rsidRDefault="00776755" w:rsidP="009A0C39">
      <w:pPr>
        <w:spacing w:line="276" w:lineRule="auto"/>
        <w:jc w:val="both"/>
        <w:rPr>
          <w:rFonts w:asciiTheme="majorBidi" w:hAnsiTheme="majorBidi" w:cstheme="majorBidi"/>
          <w:color w:val="000000" w:themeColor="text1"/>
        </w:rPr>
      </w:pPr>
    </w:p>
    <w:p w14:paraId="6066937A" w14:textId="77777777" w:rsidR="001E0F32" w:rsidRPr="00856ECB" w:rsidRDefault="001E0F32" w:rsidP="009A0C39">
      <w:pPr>
        <w:spacing w:line="276" w:lineRule="auto"/>
        <w:jc w:val="both"/>
        <w:rPr>
          <w:rFonts w:asciiTheme="majorBidi" w:hAnsiTheme="majorBidi" w:cstheme="majorBidi"/>
          <w:color w:val="000000" w:themeColor="text1"/>
        </w:rPr>
      </w:pPr>
    </w:p>
    <w:p w14:paraId="2972D35A" w14:textId="72696C8B" w:rsidR="003C616E" w:rsidRPr="00DC4F17" w:rsidRDefault="00D55846" w:rsidP="00DC4F17">
      <w:pPr>
        <w:spacing w:line="276" w:lineRule="auto"/>
        <w:jc w:val="both"/>
        <w:rPr>
          <w:rFonts w:asciiTheme="majorBidi" w:hAnsiTheme="majorBidi" w:cstheme="majorBidi"/>
          <w:b/>
          <w:bCs/>
          <w:color w:val="000000" w:themeColor="text1"/>
        </w:rPr>
      </w:pPr>
      <w:r w:rsidRPr="00DC4F17">
        <w:rPr>
          <w:rFonts w:asciiTheme="majorBidi" w:hAnsiTheme="majorBidi" w:cstheme="majorBidi"/>
          <w:b/>
          <w:bCs/>
          <w:color w:val="000000" w:themeColor="text1"/>
        </w:rPr>
        <w:t>References</w:t>
      </w:r>
    </w:p>
    <w:p w14:paraId="158E5A2F" w14:textId="77777777" w:rsidR="003C616E" w:rsidRPr="00856ECB" w:rsidRDefault="003C616E" w:rsidP="009A0C39">
      <w:pPr>
        <w:spacing w:line="276" w:lineRule="auto"/>
        <w:jc w:val="both"/>
        <w:rPr>
          <w:rFonts w:asciiTheme="majorBidi" w:hAnsiTheme="majorBidi" w:cstheme="majorBidi"/>
        </w:rPr>
      </w:pPr>
    </w:p>
    <w:p w14:paraId="5A92C5D7" w14:textId="77777777" w:rsidR="008B543B" w:rsidRPr="008B543B" w:rsidRDefault="00810A43" w:rsidP="008B543B">
      <w:pPr>
        <w:pStyle w:val="EndNoteBibliography"/>
      </w:pPr>
      <w:r w:rsidRPr="00856ECB">
        <w:rPr>
          <w:rFonts w:asciiTheme="majorBidi" w:hAnsiTheme="majorBidi" w:cstheme="majorBidi"/>
          <w:color w:val="000000" w:themeColor="text1"/>
        </w:rPr>
        <w:fldChar w:fldCharType="begin"/>
      </w:r>
      <w:r w:rsidRPr="00856ECB">
        <w:rPr>
          <w:rFonts w:asciiTheme="majorBidi" w:hAnsiTheme="majorBidi" w:cstheme="majorBidi"/>
          <w:color w:val="000000" w:themeColor="text1"/>
        </w:rPr>
        <w:instrText xml:space="preserve"> ADDIN EN.REFLIST </w:instrText>
      </w:r>
      <w:r w:rsidRPr="00856ECB">
        <w:rPr>
          <w:rFonts w:asciiTheme="majorBidi" w:hAnsiTheme="majorBidi" w:cstheme="majorBidi"/>
          <w:color w:val="000000" w:themeColor="text1"/>
        </w:rPr>
        <w:fldChar w:fldCharType="separate"/>
      </w:r>
      <w:r w:rsidR="008B543B" w:rsidRPr="008B543B">
        <w:t>1.</w:t>
      </w:r>
      <w:r w:rsidR="008B543B" w:rsidRPr="008B543B">
        <w:tab/>
        <w:t>Longo S, Rizza S, Federici M. Microbiota-gut-brain axis: Relationships among the vagus nerve, gut microbiota, obesity, and diabetes. Acta diabetologica. 2023;60(8):1007-17.</w:t>
      </w:r>
    </w:p>
    <w:p w14:paraId="2473451B" w14:textId="77777777" w:rsidR="008B543B" w:rsidRPr="008B543B" w:rsidRDefault="008B543B" w:rsidP="008B543B">
      <w:pPr>
        <w:pStyle w:val="EndNoteBibliography"/>
      </w:pPr>
      <w:r w:rsidRPr="008B543B">
        <w:t>2.</w:t>
      </w:r>
      <w:r w:rsidRPr="008B543B">
        <w:tab/>
        <w:t>Kargbo RB. Microbiome–gut–brain axis modulation: New approaches in treatment of neuropsychological and gastrointestinal functional disorders. ACS Publications; 2023. p. 692-5.</w:t>
      </w:r>
    </w:p>
    <w:p w14:paraId="57797554" w14:textId="77777777" w:rsidR="008B543B" w:rsidRPr="008B543B" w:rsidRDefault="008B543B" w:rsidP="008B543B">
      <w:pPr>
        <w:pStyle w:val="EndNoteBibliography"/>
      </w:pPr>
      <w:r w:rsidRPr="008B543B">
        <w:t>3.</w:t>
      </w:r>
      <w:r w:rsidRPr="008B543B">
        <w:tab/>
        <w:t>Ashique S, Mohanto S, Ahmed MG, Mishra N, Garg A, Chellappan DK, et al. Gut-brain axis: A cutting-edge approach to target neurological disorders and potential synbiotic application. Heliyon. 2024;10(13).</w:t>
      </w:r>
    </w:p>
    <w:p w14:paraId="61AFBF75" w14:textId="77777777" w:rsidR="008B543B" w:rsidRPr="008B543B" w:rsidRDefault="008B543B" w:rsidP="008B543B">
      <w:pPr>
        <w:pStyle w:val="EndNoteBibliography"/>
      </w:pPr>
      <w:r w:rsidRPr="008B543B">
        <w:lastRenderedPageBreak/>
        <w:t>4.</w:t>
      </w:r>
      <w:r w:rsidRPr="008B543B">
        <w:tab/>
        <w:t>Thursby E, Juge N. Introduction to the human gut microbiota. Biochemical journal. 2017;474(11):1823-36.</w:t>
      </w:r>
    </w:p>
    <w:p w14:paraId="4D09E7C6" w14:textId="77777777" w:rsidR="008B543B" w:rsidRPr="008B543B" w:rsidRDefault="008B543B" w:rsidP="008B543B">
      <w:pPr>
        <w:pStyle w:val="EndNoteBibliography"/>
      </w:pPr>
      <w:r w:rsidRPr="008B543B">
        <w:t>5.</w:t>
      </w:r>
      <w:r w:rsidRPr="008B543B">
        <w:tab/>
        <w:t>Kustrimovic N, Balkhi S, Bilato G, Mortara L. Gut Microbiota and Immune System Dynamics in Parkinson’s and Alzheimer’s Diseases. International Journal of Molecular Sciences. 2024;25(22):12164.</w:t>
      </w:r>
    </w:p>
    <w:p w14:paraId="0B870F7F" w14:textId="77777777" w:rsidR="008B543B" w:rsidRPr="008B543B" w:rsidRDefault="008B543B" w:rsidP="008B543B">
      <w:pPr>
        <w:pStyle w:val="EndNoteBibliography"/>
      </w:pPr>
      <w:r w:rsidRPr="008B543B">
        <w:t>6.</w:t>
      </w:r>
      <w:r w:rsidRPr="008B543B">
        <w:tab/>
        <w:t>Hadrich I, Turki M, Chaari I, Abdelmoula B, Gargouri R, Khemakhem N, et al. Gut mycobiome and neuropsychiatric disorders: insights and therapeutic potential. Frontiers in Cellular Neuroscience. 2025;18:1495224.</w:t>
      </w:r>
    </w:p>
    <w:p w14:paraId="20D2BFF7" w14:textId="77777777" w:rsidR="008B543B" w:rsidRPr="008B543B" w:rsidRDefault="008B543B" w:rsidP="008B543B">
      <w:pPr>
        <w:pStyle w:val="EndNoteBibliography"/>
      </w:pPr>
      <w:r w:rsidRPr="008B543B">
        <w:t>7.</w:t>
      </w:r>
      <w:r w:rsidRPr="008B543B">
        <w:tab/>
        <w:t>Zhou P, Chen C, Patil S, Dong S. Unveiling the therapeutic symphony of probiotics, prebiotics, and postbiotics in gut-immune harmony. Frontiers in nutrition. 2024;11:1355542.</w:t>
      </w:r>
    </w:p>
    <w:p w14:paraId="04856FF1" w14:textId="77777777" w:rsidR="008B543B" w:rsidRPr="008B543B" w:rsidRDefault="008B543B" w:rsidP="008B543B">
      <w:pPr>
        <w:pStyle w:val="EndNoteBibliography"/>
      </w:pPr>
      <w:r w:rsidRPr="008B543B">
        <w:t>8.</w:t>
      </w:r>
      <w:r w:rsidRPr="008B543B">
        <w:tab/>
        <w:t>Yang J, Qin S, Zhang H. Precise strategies for selecting probiotic bacteria in treatment of intestinal bacterial dysfunctional diseases. Frontiers in Immunology. 2022;13:1034727.</w:t>
      </w:r>
    </w:p>
    <w:p w14:paraId="2A837485" w14:textId="77777777" w:rsidR="008B543B" w:rsidRPr="008B543B" w:rsidRDefault="008B543B" w:rsidP="008B543B">
      <w:pPr>
        <w:pStyle w:val="EndNoteBibliography"/>
      </w:pPr>
      <w:r w:rsidRPr="008B543B">
        <w:t>9.</w:t>
      </w:r>
      <w:r w:rsidRPr="008B543B">
        <w:tab/>
        <w:t>Westfall S, Carracci F, Estill M, Zhao D, Wu Q-l, Shen L, et al. Optimization of probiotic therapeutics using machine learning in an artificial human gastrointestinal tract. Scientific reports. 2021;11(1):1067.</w:t>
      </w:r>
    </w:p>
    <w:p w14:paraId="5E8512EE" w14:textId="77777777" w:rsidR="008B543B" w:rsidRPr="008B543B" w:rsidRDefault="008B543B" w:rsidP="008B543B">
      <w:pPr>
        <w:pStyle w:val="EndNoteBibliography"/>
      </w:pPr>
      <w:r w:rsidRPr="008B543B">
        <w:t>10.</w:t>
      </w:r>
      <w:r w:rsidRPr="008B543B">
        <w:tab/>
        <w:t>Ji P, An B, Jie Z, Wang L, Qiu S, Ge C, et al. Genetically engineered probiotics as catalytic glucose depriver for tumor starvation therapy. Materials today bio. 2023;18:100515.</w:t>
      </w:r>
    </w:p>
    <w:p w14:paraId="1471F093" w14:textId="77777777" w:rsidR="008B543B" w:rsidRPr="008B543B" w:rsidRDefault="008B543B" w:rsidP="008B543B">
      <w:pPr>
        <w:pStyle w:val="EndNoteBibliography"/>
      </w:pPr>
      <w:r w:rsidRPr="008B543B">
        <w:t>11.</w:t>
      </w:r>
      <w:r w:rsidRPr="008B543B">
        <w:tab/>
        <w:t>Neil K, Allard N, Roy P, Grenier F, Menendez A, Burrus V, et al. High‐efficiency delivery of CRISPR‐Cas9 by engineered probiotics enables precise microbiome editing. Molecular Systems Biology. 2021;17(10):e10335.</w:t>
      </w:r>
    </w:p>
    <w:p w14:paraId="5DBC60FD" w14:textId="77777777" w:rsidR="008B543B" w:rsidRPr="008B543B" w:rsidRDefault="008B543B" w:rsidP="008B543B">
      <w:pPr>
        <w:pStyle w:val="EndNoteBibliography"/>
      </w:pPr>
      <w:r w:rsidRPr="008B543B">
        <w:t>12.</w:t>
      </w:r>
      <w:r w:rsidRPr="008B543B">
        <w:tab/>
        <w:t>Sender R, Fuchs S, Milo R. Revised estimates for the number of human and bacteria cells in the body. PLoS biology. 2016;14(8):e1002533.</w:t>
      </w:r>
    </w:p>
    <w:p w14:paraId="39DB5C34" w14:textId="77777777" w:rsidR="008B543B" w:rsidRPr="008B543B" w:rsidRDefault="008B543B" w:rsidP="008B543B">
      <w:pPr>
        <w:pStyle w:val="EndNoteBibliography"/>
      </w:pPr>
      <w:r w:rsidRPr="008B543B">
        <w:t>13.</w:t>
      </w:r>
      <w:r w:rsidRPr="008B543B">
        <w:tab/>
        <w:t>Kim S, Kim H, Yim YS, Ha S, Atarashi K, Tan TG, et al. Maternal gut bacteria promote neurodevelopmental abnormalities in mouse offspring. Nature. 2017;549(7673):528-32.</w:t>
      </w:r>
    </w:p>
    <w:p w14:paraId="0333A99F" w14:textId="77777777" w:rsidR="008B543B" w:rsidRPr="008B543B" w:rsidRDefault="008B543B" w:rsidP="008B543B">
      <w:pPr>
        <w:pStyle w:val="EndNoteBibliography"/>
      </w:pPr>
      <w:r w:rsidRPr="008B543B">
        <w:t>14.</w:t>
      </w:r>
      <w:r w:rsidRPr="008B543B">
        <w:tab/>
        <w:t>Rutsch A, Kantsjö JB, Ronchi F. The gut-brain axis: how microbiota and host inflammasome influence brain physiology and pathology. Frontiers in immunology. 2020;11:604179.</w:t>
      </w:r>
    </w:p>
    <w:p w14:paraId="67BD0952" w14:textId="77777777" w:rsidR="008B543B" w:rsidRPr="008B543B" w:rsidRDefault="008B543B" w:rsidP="008B543B">
      <w:pPr>
        <w:pStyle w:val="EndNoteBibliography"/>
      </w:pPr>
      <w:r w:rsidRPr="008B543B">
        <w:t>15.</w:t>
      </w:r>
      <w:r w:rsidRPr="008B543B">
        <w:tab/>
        <w:t>Silva YP, Bernardi A, Frozza RL. The role of short-chain fatty acids from gut microbiota in gut-brain communication. Frontiers in endocrinology. 2020;11:508738.</w:t>
      </w:r>
    </w:p>
    <w:p w14:paraId="0DF5C939" w14:textId="77777777" w:rsidR="008B543B" w:rsidRPr="008B543B" w:rsidRDefault="008B543B" w:rsidP="008B543B">
      <w:pPr>
        <w:pStyle w:val="EndNoteBibliography"/>
      </w:pPr>
      <w:r w:rsidRPr="008B543B">
        <w:t>16.</w:t>
      </w:r>
      <w:r w:rsidRPr="008B543B">
        <w:tab/>
        <w:t>Cherbut C, Ferrier L, Rozé C, Anini Y, Blottière H, Lecannu G, et al. Short-chain fatty acids modify colonic motility through nerves and polypeptide YY release in the rat. American Journal of Physiology-Gastrointestinal and Liver Physiology. 1998;275(6):G1415-G22.</w:t>
      </w:r>
    </w:p>
    <w:p w14:paraId="476AA757" w14:textId="77777777" w:rsidR="008B543B" w:rsidRPr="008B543B" w:rsidRDefault="008B543B" w:rsidP="008B543B">
      <w:pPr>
        <w:pStyle w:val="EndNoteBibliography"/>
      </w:pPr>
      <w:r w:rsidRPr="008B543B">
        <w:t>17.</w:t>
      </w:r>
      <w:r w:rsidRPr="008B543B">
        <w:tab/>
        <w:t>Vinolo MA, Rodrigues HG, Nachbar RT, Curi R. Regulation of inflammation by short chain fatty acids. Nutrients. 2011;3(10):858-76.</w:t>
      </w:r>
    </w:p>
    <w:p w14:paraId="49D32108" w14:textId="77777777" w:rsidR="008B543B" w:rsidRPr="008B543B" w:rsidRDefault="008B543B" w:rsidP="008B543B">
      <w:pPr>
        <w:pStyle w:val="EndNoteBibliography"/>
      </w:pPr>
      <w:r w:rsidRPr="008B543B">
        <w:t>18.</w:t>
      </w:r>
      <w:r w:rsidRPr="008B543B">
        <w:tab/>
        <w:t>He J, Zhang P, Shen L, Niu L, Tan Y, Chen L, et al. Short-chain fatty acids and their association with signalling pathways in inflammation, glucose and lipid metabolism. International journal of molecular sciences. 2020;21(17):6356.</w:t>
      </w:r>
    </w:p>
    <w:p w14:paraId="7C69BC52" w14:textId="77777777" w:rsidR="008B543B" w:rsidRPr="008B543B" w:rsidRDefault="008B543B" w:rsidP="008B543B">
      <w:pPr>
        <w:pStyle w:val="EndNoteBibliography"/>
      </w:pPr>
      <w:r w:rsidRPr="008B543B">
        <w:t>19.</w:t>
      </w:r>
      <w:r w:rsidRPr="008B543B">
        <w:tab/>
        <w:t>May KS, den Hartigh LJ. Modulation of adipocyte metabolism by microbial short-chain fatty acids. Nutrients. 2021;13(10):3666.</w:t>
      </w:r>
    </w:p>
    <w:p w14:paraId="37068723" w14:textId="77777777" w:rsidR="008B543B" w:rsidRPr="008B543B" w:rsidRDefault="008B543B" w:rsidP="008B543B">
      <w:pPr>
        <w:pStyle w:val="EndNoteBibliography"/>
      </w:pPr>
      <w:r w:rsidRPr="008B543B">
        <w:t>20.</w:t>
      </w:r>
      <w:r w:rsidRPr="008B543B">
        <w:tab/>
        <w:t>Cao S, Liu M, Han Y, Li S, Zhu X, Li D, et al. Effects of saponins on lipid metabolism: the gut–liver axis plays a key role. Nutrients. 2024;16(10):1514.</w:t>
      </w:r>
    </w:p>
    <w:p w14:paraId="5EB0F486" w14:textId="77777777" w:rsidR="008B543B" w:rsidRPr="008B543B" w:rsidRDefault="008B543B" w:rsidP="008B543B">
      <w:pPr>
        <w:pStyle w:val="EndNoteBibliography"/>
      </w:pPr>
      <w:r w:rsidRPr="008B543B">
        <w:t>21.</w:t>
      </w:r>
      <w:r w:rsidRPr="008B543B">
        <w:tab/>
        <w:t>Dicks LM. Gut bacteria and neurotransmitters. Microorganisms. 2022;10(9):1838.</w:t>
      </w:r>
    </w:p>
    <w:p w14:paraId="4E2EB473" w14:textId="77777777" w:rsidR="008B543B" w:rsidRPr="008B543B" w:rsidRDefault="008B543B" w:rsidP="008B543B">
      <w:pPr>
        <w:pStyle w:val="EndNoteBibliography"/>
      </w:pPr>
      <w:r w:rsidRPr="008B543B">
        <w:t>22.</w:t>
      </w:r>
      <w:r w:rsidRPr="008B543B">
        <w:tab/>
        <w:t>Chen Y, Xu J, Chen Y. Regulation of neurotransmitters by the gut microbiota and effects on cognition in neurological disorders. Nutrients. 2021;13(6):2099.</w:t>
      </w:r>
    </w:p>
    <w:p w14:paraId="0BFD9F98" w14:textId="77777777" w:rsidR="008B543B" w:rsidRPr="008B543B" w:rsidRDefault="008B543B" w:rsidP="008B543B">
      <w:pPr>
        <w:pStyle w:val="EndNoteBibliography"/>
      </w:pPr>
      <w:r w:rsidRPr="008B543B">
        <w:lastRenderedPageBreak/>
        <w:t>23.</w:t>
      </w:r>
      <w:r w:rsidRPr="008B543B">
        <w:tab/>
        <w:t>Parthasarathy A, Cross PJ, Dobson RC, Adams LE, Savka MA, Hudson AO. A three-ring circus: metabolism of the three proteogenic aromatic amino acids and their role in the health of plants and animals. Frontiers in molecular biosciences. 2018;5:29.</w:t>
      </w:r>
    </w:p>
    <w:p w14:paraId="079FA554" w14:textId="77777777" w:rsidR="008B543B" w:rsidRPr="008B543B" w:rsidRDefault="008B543B" w:rsidP="008B543B">
      <w:pPr>
        <w:pStyle w:val="EndNoteBibliography"/>
      </w:pPr>
      <w:r w:rsidRPr="008B543B">
        <w:t>24.</w:t>
      </w:r>
      <w:r w:rsidRPr="008B543B">
        <w:tab/>
        <w:t>Swer NM, Venkidesh B, Murali TS, Mumbrekar KD. Gut microbiota-derived metabolites and their importance in neurological disorders. Molecular Biology Reports. 2023;50(2):1663-75.</w:t>
      </w:r>
    </w:p>
    <w:p w14:paraId="29B68D11" w14:textId="77777777" w:rsidR="008B543B" w:rsidRPr="008B543B" w:rsidRDefault="008B543B" w:rsidP="008B543B">
      <w:pPr>
        <w:pStyle w:val="EndNoteBibliography"/>
      </w:pPr>
      <w:r w:rsidRPr="008B543B">
        <w:t>25.</w:t>
      </w:r>
      <w:r w:rsidRPr="008B543B">
        <w:tab/>
        <w:t>Lee J-H, Lee J. Indole as an intercellular signal in microbial communities. FEMS microbiology reviews. 2010;34(4):426-44.</w:t>
      </w:r>
    </w:p>
    <w:p w14:paraId="4E79D1C8" w14:textId="77777777" w:rsidR="008B543B" w:rsidRPr="008B543B" w:rsidRDefault="008B543B" w:rsidP="008B543B">
      <w:pPr>
        <w:pStyle w:val="EndNoteBibliography"/>
      </w:pPr>
      <w:r w:rsidRPr="008B543B">
        <w:t>26.</w:t>
      </w:r>
      <w:r w:rsidRPr="008B543B">
        <w:tab/>
        <w:t>Wang Z, Klipfell E, Bennett BJ, Koeth R, Levison BS, DuGar B, et al. Gut flora metabolism of phosphatidylcholine promotes cardiovascular disease. nature. 2011;472(7341):57-63.</w:t>
      </w:r>
    </w:p>
    <w:p w14:paraId="39E3695A" w14:textId="77777777" w:rsidR="008B543B" w:rsidRPr="008B543B" w:rsidRDefault="008B543B" w:rsidP="008B543B">
      <w:pPr>
        <w:pStyle w:val="EndNoteBibliography"/>
      </w:pPr>
      <w:r w:rsidRPr="008B543B">
        <w:t>27.</w:t>
      </w:r>
      <w:r w:rsidRPr="008B543B">
        <w:tab/>
        <w:t>Brunt VE, LaRocca TJ, Bazzoni AE, Sapinsley ZJ, Miyamoto-Ditmon J, Gioscia-Ryan RA, et al. The gut microbiome–derived metabolite trimethylamine N-oxide modulates neuroinflammation and cognitive function with aging. GeroScience. 2021;43(1):377-94.</w:t>
      </w:r>
    </w:p>
    <w:p w14:paraId="099D7E8F" w14:textId="77777777" w:rsidR="008B543B" w:rsidRPr="008B543B" w:rsidRDefault="008B543B" w:rsidP="008B543B">
      <w:pPr>
        <w:pStyle w:val="EndNoteBibliography"/>
      </w:pPr>
      <w:r w:rsidRPr="008B543B">
        <w:t>28.</w:t>
      </w:r>
      <w:r w:rsidRPr="008B543B">
        <w:tab/>
        <w:t>Bischoff SC, Barbara G, Buurman W, Ockhuizen T, Schulzke J-D, Serino M, et al. Intestinal permeability–a new target for disease prevention and therapy. BMC gastroenterology. 2014;14:1-25.</w:t>
      </w:r>
    </w:p>
    <w:p w14:paraId="03A21DB6" w14:textId="77777777" w:rsidR="008B543B" w:rsidRPr="008B543B" w:rsidRDefault="008B543B" w:rsidP="008B543B">
      <w:pPr>
        <w:pStyle w:val="EndNoteBibliography"/>
      </w:pPr>
      <w:r w:rsidRPr="008B543B">
        <w:t>29.</w:t>
      </w:r>
      <w:r w:rsidRPr="008B543B">
        <w:tab/>
        <w:t>Alvarez C-S, Badia J, Bosch M, Giménez R, Baldomà L. Outer membrane vesicles and soluble factors released by probiotic Escherichia coli Nissle 1917 and commensal ECOR63 enhance barrier function by regulating expression of tight junction proteins in intestinal epithelial cells. Frontiers in microbiology. 2016;7:1981.</w:t>
      </w:r>
    </w:p>
    <w:p w14:paraId="2D3565AD" w14:textId="77777777" w:rsidR="008B543B" w:rsidRPr="008B543B" w:rsidRDefault="008B543B" w:rsidP="008B543B">
      <w:pPr>
        <w:pStyle w:val="EndNoteBibliography"/>
      </w:pPr>
      <w:r w:rsidRPr="008B543B">
        <w:t>30.</w:t>
      </w:r>
      <w:r w:rsidRPr="008B543B">
        <w:tab/>
        <w:t>Fusco A, Savio V, Cimini D, D’Ambrosio S, Chiaromonte A, Schiraldi C, et al. In vitro evaluation of the most active probiotic strains able to improve the intestinal barrier functions and to prevent inflammatory diseases of the gastrointestinal system. Biomedicines. 2023;11(3):865.</w:t>
      </w:r>
    </w:p>
    <w:p w14:paraId="7D5B20E9" w14:textId="77777777" w:rsidR="008B543B" w:rsidRPr="008B543B" w:rsidRDefault="008B543B" w:rsidP="008B543B">
      <w:pPr>
        <w:pStyle w:val="EndNoteBibliography"/>
      </w:pPr>
      <w:r w:rsidRPr="008B543B">
        <w:t>31.</w:t>
      </w:r>
      <w:r w:rsidRPr="008B543B">
        <w:tab/>
        <w:t>Chandrasekaran P, Weiskirchen S, Weiskirchen R. Effects of probiotics on gut microbiota: an overview. International journal of molecular sciences. 2024;25(11):6022.</w:t>
      </w:r>
    </w:p>
    <w:p w14:paraId="05EDB4BA" w14:textId="77777777" w:rsidR="008B543B" w:rsidRPr="008B543B" w:rsidRDefault="008B543B" w:rsidP="008B543B">
      <w:pPr>
        <w:pStyle w:val="EndNoteBibliography"/>
      </w:pPr>
      <w:r w:rsidRPr="008B543B">
        <w:t>32.</w:t>
      </w:r>
      <w:r w:rsidRPr="008B543B">
        <w:tab/>
        <w:t>Michels M, Jesus GFA, Abatti MR, Córneo E, Cucker L, de Medeiros Borges H, et al. Effects of different probiotic strains B. lactis, L. rhamnosus and L. reuteri on brain-intestinal axis immunomodulation in an endotoxin-induced inflammation. Molecular Neurobiology. 2022;59(8):5168-78.</w:t>
      </w:r>
    </w:p>
    <w:p w14:paraId="72A55C30" w14:textId="77777777" w:rsidR="008B543B" w:rsidRPr="008B543B" w:rsidRDefault="008B543B" w:rsidP="008B543B">
      <w:pPr>
        <w:pStyle w:val="EndNoteBibliography"/>
      </w:pPr>
      <w:r w:rsidRPr="008B543B">
        <w:t>33.</w:t>
      </w:r>
      <w:r w:rsidRPr="008B543B">
        <w:tab/>
        <w:t>Yang J, Liang J, Hu N, He N, Liu B, Liu G, et al. The gut microbiota modulates neuroinflammation in Alzheimer's disease: elucidating crucial factors and mechanistic underpinnings. CNS Neuroscience &amp; Therapeutics. 2024;30(10):e70091.</w:t>
      </w:r>
    </w:p>
    <w:p w14:paraId="52796EC8" w14:textId="77777777" w:rsidR="008B543B" w:rsidRPr="008B543B" w:rsidRDefault="008B543B" w:rsidP="008B543B">
      <w:pPr>
        <w:pStyle w:val="EndNoteBibliography"/>
      </w:pPr>
      <w:r w:rsidRPr="008B543B">
        <w:t>34.</w:t>
      </w:r>
      <w:r w:rsidRPr="008B543B">
        <w:tab/>
        <w:t>Barcutean L, Maier S, Burai-Patrascu M, Farczadi L, Balasa R. The immunomodulatory potential of short-chain fatty acids in multiple sclerosis. International Journal of Molecular Sciences. 2024;25(6):3198.</w:t>
      </w:r>
    </w:p>
    <w:p w14:paraId="4CAAC73E" w14:textId="77777777" w:rsidR="008B543B" w:rsidRPr="008B543B" w:rsidRDefault="008B543B" w:rsidP="008B543B">
      <w:pPr>
        <w:pStyle w:val="EndNoteBibliography"/>
      </w:pPr>
      <w:r w:rsidRPr="008B543B">
        <w:t>35.</w:t>
      </w:r>
      <w:r w:rsidRPr="008B543B">
        <w:tab/>
        <w:t>Garvey M. The association between dysbiosis and neurological conditions often manifesting with chronic pain. Biomedicines. 2023;11(3):748.</w:t>
      </w:r>
    </w:p>
    <w:p w14:paraId="592D8B20" w14:textId="77777777" w:rsidR="008B543B" w:rsidRPr="008B543B" w:rsidRDefault="008B543B" w:rsidP="008B543B">
      <w:pPr>
        <w:pStyle w:val="EndNoteBibliography"/>
      </w:pPr>
      <w:r w:rsidRPr="008B543B">
        <w:t>36.</w:t>
      </w:r>
      <w:r w:rsidRPr="008B543B">
        <w:tab/>
        <w:t>Góralczyk-Bińkowska A, Szmajda-Krygier D, Kozłowska E. The microbiota–gut–brain axis in psychiatric disorders. International journal of molecular sciences. 2022;23(19):11245.</w:t>
      </w:r>
    </w:p>
    <w:p w14:paraId="6CCD8834" w14:textId="77777777" w:rsidR="008B543B" w:rsidRPr="008B543B" w:rsidRDefault="008B543B" w:rsidP="008B543B">
      <w:pPr>
        <w:pStyle w:val="EndNoteBibliography"/>
      </w:pPr>
      <w:r w:rsidRPr="008B543B">
        <w:t>37.</w:t>
      </w:r>
      <w:r w:rsidRPr="008B543B">
        <w:tab/>
        <w:t>Santana PT, Rosas SLB, Ribeiro BE, Marinho Y, de Souza HS. Dysbiosis in inflammatory bowel disease: pathogenic role and potential therapeutic targets. International journal of molecular sciences. 2022;23(7):3464.</w:t>
      </w:r>
    </w:p>
    <w:p w14:paraId="07399D5F" w14:textId="77777777" w:rsidR="008B543B" w:rsidRPr="008B543B" w:rsidRDefault="008B543B" w:rsidP="008B543B">
      <w:pPr>
        <w:pStyle w:val="EndNoteBibliography"/>
      </w:pPr>
      <w:r w:rsidRPr="008B543B">
        <w:lastRenderedPageBreak/>
        <w:t>38.</w:t>
      </w:r>
      <w:r w:rsidRPr="008B543B">
        <w:tab/>
        <w:t>Erdrich S, Hawrelak JA, Myers SP, Harnett JE. A systematic review of the association between fibromyalgia and functional gastrointestinal disorders. Therapeutic Advances in Gastroenterology. 2020;13:1756284820977402.</w:t>
      </w:r>
    </w:p>
    <w:p w14:paraId="1B808565" w14:textId="77777777" w:rsidR="008B543B" w:rsidRPr="008B543B" w:rsidRDefault="008B543B" w:rsidP="008B543B">
      <w:pPr>
        <w:pStyle w:val="EndNoteBibliography"/>
      </w:pPr>
      <w:r w:rsidRPr="008B543B">
        <w:t>39.</w:t>
      </w:r>
      <w:r w:rsidRPr="008B543B">
        <w:tab/>
        <w:t>Sanada K, Díez MA, Valero MS, Pérez-Yus MC, Demarzo MM, García-Toro M, et al. Effects of non-pharmacological interventions on inflammatory biomarker expression in patients with fibromyalgia: a systematic review. Arthritis research &amp; therapy. 2015;17:1-16.</w:t>
      </w:r>
    </w:p>
    <w:p w14:paraId="6A7E2BF9" w14:textId="77777777" w:rsidR="008B543B" w:rsidRPr="008B543B" w:rsidRDefault="008B543B" w:rsidP="008B543B">
      <w:pPr>
        <w:pStyle w:val="EndNoteBibliography"/>
      </w:pPr>
      <w:r w:rsidRPr="008B543B">
        <w:t>40.</w:t>
      </w:r>
      <w:r w:rsidRPr="008B543B">
        <w:tab/>
        <w:t>Garofalo C, Cristiani CM, Ilari S, Passacatini LC, Malafoglia V, Viglietto G, et al. Fibromyalgia and irritable bowel syndrome interaction: a possible role for gut microbiota and gut-brain axis. Biomedicines. 2023;11(6):1701.</w:t>
      </w:r>
    </w:p>
    <w:p w14:paraId="3EE0A528" w14:textId="77777777" w:rsidR="008B543B" w:rsidRPr="008B543B" w:rsidRDefault="008B543B" w:rsidP="008B543B">
      <w:pPr>
        <w:pStyle w:val="EndNoteBibliography"/>
      </w:pPr>
      <w:r w:rsidRPr="008B543B">
        <w:t>41.</w:t>
      </w:r>
      <w:r w:rsidRPr="008B543B">
        <w:tab/>
        <w:t>Kim YJ, Mun B-R, Choi KY, Choi W-S. Oral administration of probiotic bacteria alleviates tau phosphorylation, aβ accumulation, microglia activation, and memory loss in 5xFAD mice. Brain Sciences. 2024;14(3):208.</w:t>
      </w:r>
    </w:p>
    <w:p w14:paraId="7FF53C60" w14:textId="77777777" w:rsidR="008B543B" w:rsidRPr="008B543B" w:rsidRDefault="008B543B" w:rsidP="008B543B">
      <w:pPr>
        <w:pStyle w:val="EndNoteBibliography"/>
      </w:pPr>
      <w:r w:rsidRPr="008B543B">
        <w:t>42.</w:t>
      </w:r>
      <w:r w:rsidRPr="008B543B">
        <w:tab/>
        <w:t>Dong Y, Qi Y, Chen J, Han S, Su W, Ma X, et al. Neuroprotective Effects of Bifidobacterium animalis subsp. lactis NJ241 in a Mouse Model of Parkinson’s Disease: Implications for Gut Microbiota and PGC-1α. Molecular Neurobiology. 2024;61(10):7534-48.</w:t>
      </w:r>
    </w:p>
    <w:p w14:paraId="6A2DCF15" w14:textId="77777777" w:rsidR="008B543B" w:rsidRPr="008B543B" w:rsidRDefault="008B543B" w:rsidP="008B543B">
      <w:pPr>
        <w:pStyle w:val="EndNoteBibliography"/>
      </w:pPr>
      <w:r w:rsidRPr="008B543B">
        <w:t>43.</w:t>
      </w:r>
      <w:r w:rsidRPr="008B543B">
        <w:tab/>
        <w:t>De Oliveira FL, Salgaço MK, de Oliveira MT, Mesa V, Sartoratto A, Peregrino AM, et al. Exploring the potential of Lactobacillus helveticus R0052 and Bifidobacterium longum R0175 as promising psychobiotics using SHIME. Nutrients. 2023;15(6):1521.</w:t>
      </w:r>
    </w:p>
    <w:p w14:paraId="154A6DCC" w14:textId="77777777" w:rsidR="008B543B" w:rsidRPr="008B543B" w:rsidRDefault="008B543B" w:rsidP="008B543B">
      <w:pPr>
        <w:pStyle w:val="EndNoteBibliography"/>
      </w:pPr>
      <w:r w:rsidRPr="008B543B">
        <w:t>44.</w:t>
      </w:r>
      <w:r w:rsidRPr="008B543B">
        <w:tab/>
        <w:t>Zhong Y, Wang S, Di H, Deng Z, Liu J, Wang H. Gut health benefit and application of postbiotics in animal production. Journal of Animal Science and Biotechnology. 2022;13(1):38.</w:t>
      </w:r>
    </w:p>
    <w:p w14:paraId="3759FE5E" w14:textId="77777777" w:rsidR="008B543B" w:rsidRPr="008B543B" w:rsidRDefault="008B543B" w:rsidP="008B543B">
      <w:pPr>
        <w:pStyle w:val="EndNoteBibliography"/>
      </w:pPr>
      <w:r w:rsidRPr="008B543B">
        <w:t>45.</w:t>
      </w:r>
      <w:r w:rsidRPr="008B543B">
        <w:tab/>
        <w:t>Salminen S, Collado MC, Endo A, Hill C, Lebeer S, Quigley EM, et al. The International Scientific Association of Probiotics and Prebiotics (ISAPP) consensus statement on the definition and scope of postbiotics. Nature reviews Gastroenterology &amp; hepatology. 2021;18(9):649-67.</w:t>
      </w:r>
    </w:p>
    <w:p w14:paraId="3DB94B0E" w14:textId="77777777" w:rsidR="008B543B" w:rsidRPr="008B543B" w:rsidRDefault="008B543B" w:rsidP="008B543B">
      <w:pPr>
        <w:pStyle w:val="EndNoteBibliography"/>
      </w:pPr>
      <w:r w:rsidRPr="008B543B">
        <w:t>46.</w:t>
      </w:r>
      <w:r w:rsidRPr="008B543B">
        <w:tab/>
        <w:t>Dodd MC, Bouwer JJ. The supply value chain of fresh produce from field to home: Refrigeration and other supporting technologies.  Postharvest handling: Elsevier; 2014. p. 449-83.</w:t>
      </w:r>
    </w:p>
    <w:p w14:paraId="5CA7C253" w14:textId="77777777" w:rsidR="008B543B" w:rsidRPr="008B543B" w:rsidRDefault="008B543B" w:rsidP="008B543B">
      <w:pPr>
        <w:pStyle w:val="EndNoteBibliography"/>
      </w:pPr>
      <w:r w:rsidRPr="008B543B">
        <w:t>47.</w:t>
      </w:r>
      <w:r w:rsidRPr="008B543B">
        <w:tab/>
        <w:t>Wu Y, Wang Y, Hu A, Shu X, Huang W, Liu J, et al. Lactobacillus plantarum-derived postbiotics prevent Salmonella-induced neurological dysfunctions by modulating gut–brain axis in mice. Frontiers in Nutrition. 2022;9:946096.</w:t>
      </w:r>
    </w:p>
    <w:p w14:paraId="27B72627" w14:textId="77777777" w:rsidR="008B543B" w:rsidRPr="008B543B" w:rsidRDefault="008B543B" w:rsidP="008B543B">
      <w:pPr>
        <w:pStyle w:val="EndNoteBibliography"/>
      </w:pPr>
      <w:r w:rsidRPr="008B543B">
        <w:t>48.</w:t>
      </w:r>
      <w:r w:rsidRPr="008B543B">
        <w:tab/>
        <w:t>Banfi D, Moro E, Bosi A, Bistoletti M, Cerantola S, Crema F, et al. Impact of microbial metabolites on microbiota–gut–brain axis in inflammatory bowel disease. International journal of molecular sciences. 2021;22(4):1623.</w:t>
      </w:r>
    </w:p>
    <w:p w14:paraId="4B80979C" w14:textId="77777777" w:rsidR="008B543B" w:rsidRPr="008B543B" w:rsidRDefault="008B543B" w:rsidP="008B543B">
      <w:pPr>
        <w:pStyle w:val="EndNoteBibliography"/>
      </w:pPr>
      <w:r w:rsidRPr="008B543B">
        <w:t>49.</w:t>
      </w:r>
      <w:r w:rsidRPr="008B543B">
        <w:tab/>
        <w:t>Kaisar MM, Pelgrom LR, Van der Ham AJ, Yazdanbakhsh M, Everts B. Butyrate conditions human dendritic cells to prime type 1 regulatory T cells via both histone deacetylase inhibition and G protein-coupled receptor 109A signaling. Frontiers in immunology. 2017;8:1429.</w:t>
      </w:r>
    </w:p>
    <w:p w14:paraId="2ECBE68C" w14:textId="77777777" w:rsidR="008B543B" w:rsidRPr="008B543B" w:rsidRDefault="008B543B" w:rsidP="008B543B">
      <w:pPr>
        <w:pStyle w:val="EndNoteBibliography"/>
      </w:pPr>
      <w:r w:rsidRPr="008B543B">
        <w:t>50.</w:t>
      </w:r>
      <w:r w:rsidRPr="008B543B">
        <w:tab/>
        <w:t>Liaqat H, Parveen A, Kim SY. Neuroprotective natural products’ regulatory effects on depression via gut–brain axis targeting tryptophan. Nutrients. 2022;14(16):3270.</w:t>
      </w:r>
    </w:p>
    <w:p w14:paraId="2FB5076D" w14:textId="77777777" w:rsidR="008B543B" w:rsidRPr="008B543B" w:rsidRDefault="008B543B" w:rsidP="008B543B">
      <w:pPr>
        <w:pStyle w:val="EndNoteBibliography"/>
      </w:pPr>
      <w:r w:rsidRPr="008B543B">
        <w:t>51.</w:t>
      </w:r>
      <w:r w:rsidRPr="008B543B">
        <w:tab/>
        <w:t>Chaudhari HG, Prajapati S, Wardah ZH, Raol G, Prajapati V, Patel R, et al. Decoding the microbial universe with metagenomics: a brief insight. Frontiers in Genetics. 2023;14:1119740.</w:t>
      </w:r>
    </w:p>
    <w:p w14:paraId="38AA3AD4" w14:textId="77777777" w:rsidR="008B543B" w:rsidRPr="008B543B" w:rsidRDefault="008B543B" w:rsidP="008B543B">
      <w:pPr>
        <w:pStyle w:val="EndNoteBibliography"/>
      </w:pPr>
      <w:r w:rsidRPr="008B543B">
        <w:t>52.</w:t>
      </w:r>
      <w:r w:rsidRPr="008B543B">
        <w:tab/>
        <w:t>Wang L, Chen X, Pollock NR, Villafuerte Gálvez JA, Alonso CD, Wang D, et al. Metagenomic analysis reveals distinct patterns of gut microbiota features with diversified functions in C. difficile infection (CDI), asymptomatic carriage and non-CDI diarrhea. Gut Microbes. 2025;17(1):2505269.</w:t>
      </w:r>
    </w:p>
    <w:p w14:paraId="0B05AB16" w14:textId="77777777" w:rsidR="008B543B" w:rsidRPr="008B543B" w:rsidRDefault="008B543B" w:rsidP="008B543B">
      <w:pPr>
        <w:pStyle w:val="EndNoteBibliography"/>
      </w:pPr>
      <w:r w:rsidRPr="008B543B">
        <w:lastRenderedPageBreak/>
        <w:t>53.</w:t>
      </w:r>
      <w:r w:rsidRPr="008B543B">
        <w:tab/>
        <w:t>Mulcahy-O’Grady H, Workentine ML. The challenge and potential of metagenomics in the clinic. Frontiers in immunology. 2016;7:29.</w:t>
      </w:r>
    </w:p>
    <w:p w14:paraId="089738A2" w14:textId="77777777" w:rsidR="008B543B" w:rsidRPr="008B543B" w:rsidRDefault="008B543B" w:rsidP="008B543B">
      <w:pPr>
        <w:pStyle w:val="EndNoteBibliography"/>
      </w:pPr>
      <w:r w:rsidRPr="008B543B">
        <w:t>54.</w:t>
      </w:r>
      <w:r w:rsidRPr="008B543B">
        <w:tab/>
        <w:t>Vernocchi P, Del Chierico F, Putignani L. Gut microbiota profiling: metabolomics based approach to unravel compounds affecting human health. Frontiers in microbiology. 2016;7:1144.</w:t>
      </w:r>
    </w:p>
    <w:p w14:paraId="095F1570" w14:textId="77777777" w:rsidR="008B543B" w:rsidRPr="008B543B" w:rsidRDefault="008B543B" w:rsidP="008B543B">
      <w:pPr>
        <w:pStyle w:val="EndNoteBibliography"/>
      </w:pPr>
      <w:r w:rsidRPr="008B543B">
        <w:t>55.</w:t>
      </w:r>
      <w:r w:rsidRPr="008B543B">
        <w:tab/>
        <w:t>DeSantis TZ, Hugenholtz P, Larsen N, Rojas M, Brodie EL, Keller K, et al. Greengenes, a chimera-checked 16S rRNA gene database and workbench compatible with ARB. Applied and environmental microbiology. 2006;72(7):5069-72.</w:t>
      </w:r>
    </w:p>
    <w:p w14:paraId="7D0A82D8" w14:textId="77777777" w:rsidR="008B543B" w:rsidRPr="008B543B" w:rsidRDefault="008B543B" w:rsidP="008B543B">
      <w:pPr>
        <w:pStyle w:val="EndNoteBibliography"/>
      </w:pPr>
      <w:r w:rsidRPr="008B543B">
        <w:t>56.</w:t>
      </w:r>
      <w:r w:rsidRPr="008B543B">
        <w:tab/>
        <w:t>Wu J, Singleton SS, Bhuiyan U, Krammer L, Mazumder R. Multi-omics approaches to studying gastrointestinal microbiome in the context of precision medicine and machine learning. Frontiers in molecular biosciences. 2024;10:1337373.</w:t>
      </w:r>
    </w:p>
    <w:p w14:paraId="0E9A58DE" w14:textId="77777777" w:rsidR="008B543B" w:rsidRPr="008B543B" w:rsidRDefault="008B543B" w:rsidP="008B543B">
      <w:pPr>
        <w:pStyle w:val="EndNoteBibliography"/>
      </w:pPr>
      <w:r w:rsidRPr="008B543B">
        <w:t>57.</w:t>
      </w:r>
      <w:r w:rsidRPr="008B543B">
        <w:tab/>
        <w:t>Abavisani M, Khoshrou A, Foroushan SK, Ebadpour N, Sahebkar A. Deciphering the gut microbiome: The revolution of artificial intelligence in microbiota analysis and intervention. Current Research in Biotechnology. 2024;7:100211.</w:t>
      </w:r>
    </w:p>
    <w:p w14:paraId="1D65A5B8" w14:textId="77777777" w:rsidR="008B543B" w:rsidRPr="008B543B" w:rsidRDefault="008B543B" w:rsidP="008B543B">
      <w:pPr>
        <w:pStyle w:val="EndNoteBibliography"/>
      </w:pPr>
      <w:r w:rsidRPr="008B543B">
        <w:t>58.</w:t>
      </w:r>
      <w:r w:rsidRPr="008B543B">
        <w:tab/>
        <w:t>Zhou S, Zhao L, Zuo W, Zheng Y, Zhang P, Sun Y, et al. Minimizing endogenous cryptic plasmids to construct antibiotic-free expression systems for Escherichia coli Nissle 1917. Synthetic and Systems Biotechnology. 2024;9(1):165-75.</w:t>
      </w:r>
    </w:p>
    <w:p w14:paraId="2FD79E47" w14:textId="77777777" w:rsidR="008B543B" w:rsidRPr="008B543B" w:rsidRDefault="008B543B" w:rsidP="008B543B">
      <w:pPr>
        <w:pStyle w:val="EndNoteBibliography"/>
      </w:pPr>
      <w:r w:rsidRPr="008B543B">
        <w:t>59.</w:t>
      </w:r>
      <w:r w:rsidRPr="008B543B">
        <w:tab/>
        <w:t>Rottinghaus AG, Ferreiro A, Fishbein SR, Dantas G, Moon TS. Genetically stable CRISPR-based kill switches for engineered microbes. Nature communications. 2022;13(1):672.</w:t>
      </w:r>
    </w:p>
    <w:p w14:paraId="43B8234B" w14:textId="77777777" w:rsidR="008B543B" w:rsidRPr="008B543B" w:rsidRDefault="008B543B" w:rsidP="008B543B">
      <w:pPr>
        <w:pStyle w:val="EndNoteBibliography"/>
      </w:pPr>
      <w:r w:rsidRPr="008B543B">
        <w:t>60.</w:t>
      </w:r>
      <w:r w:rsidRPr="008B543B">
        <w:tab/>
        <w:t>Motalebi Moghanjougi Z, Rezazadeh Bari M, Alizadeh Khaledabad M, Amiri S, Almasi H. Microencapsulation of Lactobacillus acidophilus LA‐5 and Bifidobacterium animalis BB‐12 in pectin and sodium alginate: A comparative study on viability, stability, and structure. Food Science &amp; Nutrition. 2021;9(9):5103-11.</w:t>
      </w:r>
    </w:p>
    <w:p w14:paraId="41DB65B2" w14:textId="77777777" w:rsidR="008B543B" w:rsidRPr="008B543B" w:rsidRDefault="008B543B" w:rsidP="008B543B">
      <w:pPr>
        <w:pStyle w:val="EndNoteBibliography"/>
      </w:pPr>
      <w:r w:rsidRPr="008B543B">
        <w:t>61.</w:t>
      </w:r>
      <w:r w:rsidRPr="008B543B">
        <w:tab/>
        <w:t>Markowiak P, Śliżewska K. Effects of probiotics, prebiotics, and synbiotics on human health. Nutrients. 2017;9(9):1021.</w:t>
      </w:r>
    </w:p>
    <w:p w14:paraId="6F104482" w14:textId="77777777" w:rsidR="008B543B" w:rsidRPr="008B543B" w:rsidRDefault="008B543B" w:rsidP="008B543B">
      <w:pPr>
        <w:pStyle w:val="EndNoteBibliography"/>
      </w:pPr>
      <w:r w:rsidRPr="008B543B">
        <w:t>62.</w:t>
      </w:r>
      <w:r w:rsidRPr="008B543B">
        <w:tab/>
        <w:t>Aggarwal S, Sabharwal V, Kaushik P, Joshi A, Aayushi A, Suri M. Postbiotics: From emerging concept to application. Frontiers in Sustainable Food Systems. 2022;6:887642.</w:t>
      </w:r>
    </w:p>
    <w:p w14:paraId="5D0292A5" w14:textId="77777777" w:rsidR="008B543B" w:rsidRPr="008B543B" w:rsidRDefault="008B543B" w:rsidP="008B543B">
      <w:pPr>
        <w:pStyle w:val="EndNoteBibliography"/>
      </w:pPr>
      <w:r w:rsidRPr="008B543B">
        <w:t>63.</w:t>
      </w:r>
      <w:r w:rsidRPr="008B543B">
        <w:tab/>
        <w:t>Ranjha MMAN, Shafique B, Batool M, Kowalczewski PŁ, Shehzad Q, Usman M, et al. Nutritional and health potential of probiotics: a review. Applied Sciences. 2021;11(23):11204.</w:t>
      </w:r>
    </w:p>
    <w:p w14:paraId="6A1AE92A" w14:textId="77777777" w:rsidR="008B543B" w:rsidRPr="008B543B" w:rsidRDefault="008B543B" w:rsidP="008B543B">
      <w:pPr>
        <w:pStyle w:val="EndNoteBibliography"/>
      </w:pPr>
      <w:r w:rsidRPr="008B543B">
        <w:t>64.</w:t>
      </w:r>
      <w:r w:rsidRPr="008B543B">
        <w:tab/>
        <w:t>Garcia-Brand AJ, Quezada V, Gonzalez-Melo C, Bolaños-Barbosa AD, Cruz JC, Reyes LH. Novel developments on stimuli-responsive probiotic encapsulates: from smart hydrogels to nanostructured platforms. Fermentation. 2022;8(3):117.</w:t>
      </w:r>
    </w:p>
    <w:p w14:paraId="30E2D946" w14:textId="77777777" w:rsidR="008B543B" w:rsidRPr="008B543B" w:rsidRDefault="008B543B" w:rsidP="008B543B">
      <w:pPr>
        <w:pStyle w:val="EndNoteBibliography"/>
      </w:pPr>
      <w:r w:rsidRPr="008B543B">
        <w:t>65.</w:t>
      </w:r>
      <w:r w:rsidRPr="008B543B">
        <w:tab/>
        <w:t>Yoha K, Nida S, Dutta S, Moses J, Anandharamakrishnan C. Targeted delivery of probiotics: perspectives on research and commercialization. Probiotics and Antimicrobial Proteins. 2022:1-34.</w:t>
      </w:r>
    </w:p>
    <w:p w14:paraId="1A640BBF" w14:textId="77777777" w:rsidR="008B543B" w:rsidRPr="008B543B" w:rsidRDefault="008B543B" w:rsidP="008B543B">
      <w:pPr>
        <w:pStyle w:val="EndNoteBibliography"/>
      </w:pPr>
      <w:r w:rsidRPr="008B543B">
        <w:t>66.</w:t>
      </w:r>
      <w:r w:rsidRPr="008B543B">
        <w:tab/>
        <w:t>Grossova M, Rysavka P, Marova I. Probiotic biofilm on carrier surface: A novel promising application for food industry. Acta Alimentaria. 2017;46(4):439-48.</w:t>
      </w:r>
    </w:p>
    <w:p w14:paraId="498C31DF" w14:textId="77777777" w:rsidR="008B543B" w:rsidRPr="008B543B" w:rsidRDefault="008B543B" w:rsidP="008B543B">
      <w:pPr>
        <w:pStyle w:val="EndNoteBibliography"/>
      </w:pPr>
      <w:r w:rsidRPr="008B543B">
        <w:t>67.</w:t>
      </w:r>
      <w:r w:rsidRPr="008B543B">
        <w:tab/>
        <w:t>Klopper KB, Bester E, Deane SM, Wolfaardt GM, Dicks LM. Survival of planktonic and sessile cells of lactobacillus rhamnosus and lactobacillus reuteri upon exposure to simulated fasting-state gastrointestinal conditions. Probiotics and Antimicrobial Proteins. 2019;11:594-603.</w:t>
      </w:r>
    </w:p>
    <w:p w14:paraId="20ACE155" w14:textId="77777777" w:rsidR="008B543B" w:rsidRPr="008B543B" w:rsidRDefault="008B543B" w:rsidP="008B543B">
      <w:pPr>
        <w:pStyle w:val="EndNoteBibliography"/>
      </w:pPr>
      <w:r w:rsidRPr="008B543B">
        <w:t>68.</w:t>
      </w:r>
      <w:r w:rsidRPr="008B543B">
        <w:tab/>
        <w:t>Yahav S, Berkovich Z, Ostrov I, Reifen R, Shemesh M. Encapsulation of beneficial probiotic bacteria in extracellular matrix from biofilm-forming Bacillus subtilis. Artificial Cells, Nanomedicine, and Biotechnology. 2018;46(sup2):974-82.</w:t>
      </w:r>
    </w:p>
    <w:p w14:paraId="0FE9A2C5" w14:textId="77777777" w:rsidR="008B543B" w:rsidRPr="008B543B" w:rsidRDefault="008B543B" w:rsidP="008B543B">
      <w:pPr>
        <w:pStyle w:val="EndNoteBibliography"/>
      </w:pPr>
      <w:r w:rsidRPr="008B543B">
        <w:lastRenderedPageBreak/>
        <w:t>69.</w:t>
      </w:r>
      <w:r w:rsidRPr="008B543B">
        <w:tab/>
        <w:t>McClements DJ. Designing biopolymer microgels to encapsulate, protect and deliver bioactive components: Physicochemical aspects. Advances in Colloid and Interface Science. 2017;240:31-59.</w:t>
      </w:r>
    </w:p>
    <w:p w14:paraId="165E44C0" w14:textId="77777777" w:rsidR="008B543B" w:rsidRPr="008B543B" w:rsidRDefault="008B543B" w:rsidP="008B543B">
      <w:pPr>
        <w:pStyle w:val="EndNoteBibliography"/>
      </w:pPr>
      <w:r w:rsidRPr="008B543B">
        <w:t>70.</w:t>
      </w:r>
      <w:r w:rsidRPr="008B543B">
        <w:tab/>
        <w:t>Huang H-L, Lai C-H, Tsai W-H, Chen K-W, Peng S-L, Lin J-H, et al. Nanoparticle-enhanced postbiotics: Revolutionizing cancer therapy through effective delivery. Life Sciences. 2024;337:122379.</w:t>
      </w:r>
    </w:p>
    <w:p w14:paraId="2C5BBD56" w14:textId="77777777" w:rsidR="008B543B" w:rsidRPr="008B543B" w:rsidRDefault="008B543B" w:rsidP="008B543B">
      <w:pPr>
        <w:pStyle w:val="EndNoteBibliography"/>
      </w:pPr>
      <w:r w:rsidRPr="008B543B">
        <w:t>71.</w:t>
      </w:r>
      <w:r w:rsidRPr="008B543B">
        <w:tab/>
        <w:t>Zou Z-P, Du Y, Fang T-T, Zhou Y, Ye B-C. Biomarker-responsive engineered probiotic diagnoses, records, and ameliorates inflammatory bowel disease in mice. Cell Host &amp; Microbe. 2023;31(2):199-212. e5.</w:t>
      </w:r>
    </w:p>
    <w:p w14:paraId="113F62ED" w14:textId="77777777" w:rsidR="008B543B" w:rsidRPr="008B543B" w:rsidRDefault="008B543B" w:rsidP="008B543B">
      <w:pPr>
        <w:pStyle w:val="EndNoteBibliography"/>
      </w:pPr>
      <w:r w:rsidRPr="008B543B">
        <w:t>72.</w:t>
      </w:r>
      <w:r w:rsidRPr="008B543B">
        <w:tab/>
        <w:t>Pandey K, Naik S, Vakil B. Probiotics, prebiotics and synbiotics-a review. Journal of food science and technology. 2015;52(12):7577-87.</w:t>
      </w:r>
    </w:p>
    <w:p w14:paraId="18929EB5" w14:textId="77777777" w:rsidR="008B543B" w:rsidRPr="008B543B" w:rsidRDefault="008B543B" w:rsidP="008B543B">
      <w:pPr>
        <w:pStyle w:val="EndNoteBibliography"/>
      </w:pPr>
      <w:r w:rsidRPr="008B543B">
        <w:t>73.</w:t>
      </w:r>
      <w:r w:rsidRPr="008B543B">
        <w:tab/>
        <w:t>Abouelela ME, Helmy YA. Next-generation probiotics as novel therapeutics for improving human health: current trends and future perspectives. Microorganisms. 2024;12(3):430.</w:t>
      </w:r>
    </w:p>
    <w:p w14:paraId="566380BE" w14:textId="77777777" w:rsidR="008B543B" w:rsidRPr="008B543B" w:rsidRDefault="008B543B" w:rsidP="008B543B">
      <w:pPr>
        <w:pStyle w:val="EndNoteBibliography"/>
      </w:pPr>
      <w:r w:rsidRPr="008B543B">
        <w:t>74.</w:t>
      </w:r>
      <w:r w:rsidRPr="008B543B">
        <w:tab/>
        <w:t>Nazir A, Hussain FHN, Raza A. Advancing microbiota therapeutics: the role of synthetic biology in engineering microbial communities for precision medicine. Frontiers in Bioengineering and Biotechnology. 2024;12:1511149.</w:t>
      </w:r>
    </w:p>
    <w:p w14:paraId="66953C14" w14:textId="77777777" w:rsidR="008B543B" w:rsidRPr="008B543B" w:rsidRDefault="008B543B" w:rsidP="008B543B">
      <w:pPr>
        <w:pStyle w:val="EndNoteBibliography"/>
      </w:pPr>
      <w:r w:rsidRPr="008B543B">
        <w:t>75.</w:t>
      </w:r>
      <w:r w:rsidRPr="008B543B">
        <w:tab/>
        <w:t>Cruz KCP, Enekegho LO, Stuart DT. Bioengineered probiotics: synthetic biology can provide live cell therapeutics for the treatment of foodborne diseases. Frontiers in bioengineering and biotechnology. 2022;10:890479.</w:t>
      </w:r>
    </w:p>
    <w:p w14:paraId="77309A7A" w14:textId="77777777" w:rsidR="008B543B" w:rsidRPr="008B543B" w:rsidRDefault="008B543B" w:rsidP="008B543B">
      <w:pPr>
        <w:pStyle w:val="EndNoteBibliography"/>
      </w:pPr>
      <w:r w:rsidRPr="008B543B">
        <w:t>76.</w:t>
      </w:r>
      <w:r w:rsidRPr="008B543B">
        <w:tab/>
        <w:t>Merenstein D, Pot B, Leyer G, Ouwehand AC, Preidis GA, Elkins CA, et al. Emerging issues in probiotic safety: 2023 perspectives. Gut microbes. 2023;15(1):2185034.</w:t>
      </w:r>
    </w:p>
    <w:p w14:paraId="1556A22F" w14:textId="4B2F788D" w:rsidR="00437426" w:rsidRDefault="00810A43" w:rsidP="008B543B">
      <w:pPr>
        <w:jc w:val="both"/>
        <w:rPr>
          <w:rFonts w:asciiTheme="majorBidi" w:hAnsiTheme="majorBidi" w:cstheme="majorBidi"/>
        </w:rPr>
      </w:pPr>
      <w:r w:rsidRPr="00856ECB">
        <w:rPr>
          <w:rFonts w:asciiTheme="majorBidi" w:hAnsiTheme="majorBidi" w:cstheme="majorBidi"/>
        </w:rPr>
        <w:fldChar w:fldCharType="end"/>
      </w:r>
    </w:p>
    <w:p w14:paraId="4C83B209" w14:textId="7351D9CF" w:rsidR="000D0431" w:rsidRDefault="000D0431" w:rsidP="00712147">
      <w:pPr>
        <w:jc w:val="both"/>
        <w:rPr>
          <w:rFonts w:asciiTheme="majorBidi" w:hAnsiTheme="majorBidi" w:cstheme="majorBidi"/>
        </w:rPr>
      </w:pPr>
    </w:p>
    <w:p w14:paraId="261DD289" w14:textId="6122A0D1" w:rsidR="000D0431" w:rsidRDefault="000D0431" w:rsidP="00712147">
      <w:pPr>
        <w:jc w:val="both"/>
        <w:rPr>
          <w:rFonts w:asciiTheme="majorBidi" w:hAnsiTheme="majorBidi" w:cstheme="majorBidi"/>
        </w:rPr>
      </w:pPr>
    </w:p>
    <w:p w14:paraId="088063F8" w14:textId="4087E61A" w:rsidR="000D0431" w:rsidRDefault="000D0431" w:rsidP="00712147">
      <w:pPr>
        <w:jc w:val="both"/>
        <w:rPr>
          <w:rFonts w:asciiTheme="majorBidi" w:hAnsiTheme="majorBidi" w:cstheme="majorBidi"/>
        </w:rPr>
      </w:pPr>
    </w:p>
    <w:p w14:paraId="38935873" w14:textId="07B507ED" w:rsidR="000D0431" w:rsidRDefault="000D0431" w:rsidP="00712147">
      <w:pPr>
        <w:jc w:val="both"/>
        <w:rPr>
          <w:rFonts w:asciiTheme="majorBidi" w:hAnsiTheme="majorBidi" w:cstheme="majorBidi"/>
        </w:rPr>
      </w:pPr>
    </w:p>
    <w:p w14:paraId="46FDC1E6" w14:textId="1004743E" w:rsidR="000D0431" w:rsidRDefault="000D0431" w:rsidP="00712147">
      <w:pPr>
        <w:jc w:val="both"/>
        <w:rPr>
          <w:rFonts w:asciiTheme="majorBidi" w:hAnsiTheme="majorBidi" w:cstheme="majorBidi"/>
        </w:rPr>
      </w:pPr>
    </w:p>
    <w:p w14:paraId="15EC2047" w14:textId="1E9F0EA6" w:rsidR="000D0431" w:rsidRDefault="000D0431" w:rsidP="00712147">
      <w:pPr>
        <w:jc w:val="both"/>
        <w:rPr>
          <w:rFonts w:asciiTheme="majorBidi" w:hAnsiTheme="majorBidi" w:cstheme="majorBidi"/>
        </w:rPr>
      </w:pPr>
    </w:p>
    <w:p w14:paraId="5701BB63" w14:textId="787EB0EF" w:rsidR="000D0431" w:rsidRDefault="000D0431" w:rsidP="00712147">
      <w:pPr>
        <w:jc w:val="both"/>
        <w:rPr>
          <w:rFonts w:asciiTheme="majorBidi" w:hAnsiTheme="majorBidi" w:cstheme="majorBidi"/>
        </w:rPr>
      </w:pPr>
    </w:p>
    <w:p w14:paraId="2F56B736" w14:textId="2CBF6C28" w:rsidR="000D0431" w:rsidRDefault="000D0431" w:rsidP="00712147">
      <w:pPr>
        <w:jc w:val="both"/>
        <w:rPr>
          <w:rFonts w:asciiTheme="majorBidi" w:hAnsiTheme="majorBidi" w:cstheme="majorBidi"/>
        </w:rPr>
      </w:pPr>
    </w:p>
    <w:p w14:paraId="46A516B1" w14:textId="46646E2D" w:rsidR="000D0431" w:rsidRDefault="000D0431" w:rsidP="00712147">
      <w:pPr>
        <w:jc w:val="both"/>
        <w:rPr>
          <w:rFonts w:asciiTheme="majorBidi" w:hAnsiTheme="majorBidi" w:cstheme="majorBidi"/>
        </w:rPr>
      </w:pPr>
    </w:p>
    <w:p w14:paraId="15E38114" w14:textId="53DB8FBE" w:rsidR="000D0431" w:rsidRDefault="000D0431" w:rsidP="00712147">
      <w:pPr>
        <w:jc w:val="both"/>
        <w:rPr>
          <w:rFonts w:asciiTheme="majorBidi" w:hAnsiTheme="majorBidi" w:cstheme="majorBidi"/>
        </w:rPr>
      </w:pPr>
    </w:p>
    <w:p w14:paraId="29263DB2" w14:textId="3B19AF0E" w:rsidR="000D0431" w:rsidRDefault="000D0431" w:rsidP="00712147">
      <w:pPr>
        <w:jc w:val="both"/>
        <w:rPr>
          <w:rFonts w:asciiTheme="majorBidi" w:hAnsiTheme="majorBidi" w:cstheme="majorBidi"/>
        </w:rPr>
      </w:pPr>
    </w:p>
    <w:p w14:paraId="635D7A4F" w14:textId="142A1AD1" w:rsidR="000D0431" w:rsidRDefault="000D0431" w:rsidP="00712147">
      <w:pPr>
        <w:jc w:val="both"/>
        <w:rPr>
          <w:rFonts w:asciiTheme="majorBidi" w:hAnsiTheme="majorBidi" w:cstheme="majorBidi"/>
        </w:rPr>
      </w:pPr>
    </w:p>
    <w:p w14:paraId="2E538FE8" w14:textId="56C471CD" w:rsidR="000D0431" w:rsidRDefault="000D0431" w:rsidP="00712147">
      <w:pPr>
        <w:jc w:val="both"/>
        <w:rPr>
          <w:rFonts w:asciiTheme="majorBidi" w:hAnsiTheme="majorBidi" w:cstheme="majorBidi"/>
        </w:rPr>
      </w:pPr>
    </w:p>
    <w:p w14:paraId="494E99FE" w14:textId="67767AEA" w:rsidR="000D0431" w:rsidRDefault="000D0431" w:rsidP="00712147">
      <w:pPr>
        <w:jc w:val="both"/>
        <w:rPr>
          <w:rFonts w:asciiTheme="majorBidi" w:hAnsiTheme="majorBidi" w:cstheme="majorBidi"/>
        </w:rPr>
      </w:pPr>
    </w:p>
    <w:p w14:paraId="47565473" w14:textId="55F299C4" w:rsidR="000D0431" w:rsidRDefault="000D0431" w:rsidP="00712147">
      <w:pPr>
        <w:jc w:val="both"/>
        <w:rPr>
          <w:rFonts w:asciiTheme="majorBidi" w:hAnsiTheme="majorBidi" w:cstheme="majorBidi"/>
        </w:rPr>
      </w:pPr>
    </w:p>
    <w:p w14:paraId="5701D3CF" w14:textId="7C27A3B5" w:rsidR="000D0431" w:rsidRDefault="000D0431" w:rsidP="00712147">
      <w:pPr>
        <w:jc w:val="both"/>
        <w:rPr>
          <w:rFonts w:asciiTheme="majorBidi" w:hAnsiTheme="majorBidi" w:cstheme="majorBidi"/>
        </w:rPr>
      </w:pPr>
    </w:p>
    <w:p w14:paraId="7D2DACBA" w14:textId="79ADDE32" w:rsidR="000D0431" w:rsidRDefault="000D0431" w:rsidP="00712147">
      <w:pPr>
        <w:jc w:val="both"/>
        <w:rPr>
          <w:rFonts w:asciiTheme="majorBidi" w:hAnsiTheme="majorBidi" w:cstheme="majorBidi"/>
        </w:rPr>
      </w:pPr>
    </w:p>
    <w:p w14:paraId="1E320DBE" w14:textId="0145E2F5" w:rsidR="00F33719" w:rsidRDefault="00F33719" w:rsidP="00712147">
      <w:pPr>
        <w:jc w:val="both"/>
        <w:rPr>
          <w:rFonts w:asciiTheme="majorBidi" w:hAnsiTheme="majorBidi" w:cstheme="majorBidi"/>
        </w:rPr>
      </w:pPr>
    </w:p>
    <w:p w14:paraId="71207591" w14:textId="054B2E19" w:rsidR="00F33719" w:rsidRDefault="00F33719" w:rsidP="00712147">
      <w:pPr>
        <w:jc w:val="both"/>
        <w:rPr>
          <w:rFonts w:asciiTheme="majorBidi" w:hAnsiTheme="majorBidi" w:cstheme="majorBidi"/>
        </w:rPr>
      </w:pPr>
    </w:p>
    <w:p w14:paraId="30341BD2" w14:textId="5A1C1D9B" w:rsidR="00F33719" w:rsidRDefault="00F33719" w:rsidP="00712147">
      <w:pPr>
        <w:jc w:val="both"/>
        <w:rPr>
          <w:rFonts w:asciiTheme="majorBidi" w:hAnsiTheme="majorBidi" w:cstheme="majorBidi"/>
        </w:rPr>
      </w:pPr>
    </w:p>
    <w:p w14:paraId="03A8A6BE" w14:textId="78117BEB" w:rsidR="00F33719" w:rsidRDefault="00F33719" w:rsidP="00712147">
      <w:pPr>
        <w:jc w:val="both"/>
        <w:rPr>
          <w:rFonts w:asciiTheme="majorBidi" w:hAnsiTheme="majorBidi" w:cstheme="majorBidi"/>
        </w:rPr>
      </w:pPr>
    </w:p>
    <w:p w14:paraId="51CBEFB7" w14:textId="17B81760" w:rsidR="00F33719" w:rsidRDefault="00F33719" w:rsidP="00712147">
      <w:pPr>
        <w:jc w:val="both"/>
        <w:rPr>
          <w:rFonts w:asciiTheme="majorBidi" w:hAnsiTheme="majorBidi" w:cstheme="majorBidi"/>
        </w:rPr>
      </w:pPr>
    </w:p>
    <w:p w14:paraId="0C6573D4" w14:textId="77777777" w:rsidR="00F33719" w:rsidRDefault="00F33719" w:rsidP="00712147">
      <w:pPr>
        <w:jc w:val="both"/>
        <w:rPr>
          <w:rFonts w:asciiTheme="majorBidi" w:hAnsiTheme="majorBidi" w:cstheme="majorBidi"/>
        </w:rPr>
      </w:pPr>
    </w:p>
    <w:p w14:paraId="60BBB83E" w14:textId="48CC6075" w:rsidR="000D0431" w:rsidRDefault="000D0431" w:rsidP="00712147">
      <w:pPr>
        <w:jc w:val="both"/>
        <w:rPr>
          <w:rFonts w:asciiTheme="majorBidi" w:hAnsiTheme="majorBidi" w:cstheme="majorBidi"/>
        </w:rPr>
      </w:pPr>
      <w:r>
        <w:rPr>
          <w:rFonts w:asciiTheme="majorBidi" w:hAnsiTheme="majorBidi" w:cstheme="majorBidi"/>
          <w:noProof/>
          <w:lang w:bidi="fa-IR"/>
        </w:rPr>
        <w:lastRenderedPageBreak/>
        <w:drawing>
          <wp:inline distT="0" distB="0" distL="0" distR="0" wp14:anchorId="717FD94A" wp14:editId="0F5847EF">
            <wp:extent cx="5944235" cy="41636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4235" cy="4163695"/>
                    </a:xfrm>
                    <a:prstGeom prst="rect">
                      <a:avLst/>
                    </a:prstGeom>
                    <a:noFill/>
                  </pic:spPr>
                </pic:pic>
              </a:graphicData>
            </a:graphic>
          </wp:inline>
        </w:drawing>
      </w:r>
    </w:p>
    <w:p w14:paraId="50FFF1BB" w14:textId="05E960CA" w:rsidR="000D0431" w:rsidRDefault="000D0431" w:rsidP="00712147">
      <w:pPr>
        <w:jc w:val="both"/>
        <w:rPr>
          <w:rFonts w:asciiTheme="majorBidi" w:hAnsiTheme="majorBidi" w:cstheme="majorBidi"/>
        </w:rPr>
      </w:pPr>
    </w:p>
    <w:p w14:paraId="6532CE4B" w14:textId="6920F3D4" w:rsidR="000D0431" w:rsidRDefault="000D0431" w:rsidP="00712147">
      <w:pPr>
        <w:jc w:val="both"/>
        <w:rPr>
          <w:rFonts w:asciiTheme="majorBidi" w:hAnsiTheme="majorBidi" w:cstheme="majorBidi"/>
        </w:rPr>
      </w:pPr>
    </w:p>
    <w:p w14:paraId="3036EB07" w14:textId="253A624B" w:rsidR="000D0431" w:rsidRDefault="000D0431" w:rsidP="00712147">
      <w:pPr>
        <w:jc w:val="both"/>
        <w:rPr>
          <w:rFonts w:asciiTheme="majorBidi" w:hAnsiTheme="majorBidi" w:cstheme="majorBidi"/>
        </w:rPr>
      </w:pPr>
      <w:proofErr w:type="gramStart"/>
      <w:r w:rsidRPr="000D0431">
        <w:rPr>
          <w:rFonts w:asciiTheme="majorBidi" w:hAnsiTheme="majorBidi" w:cstheme="majorBidi"/>
        </w:rPr>
        <w:t>Fig 1.</w:t>
      </w:r>
      <w:proofErr w:type="gramEnd"/>
      <w:r w:rsidRPr="000D0431">
        <w:rPr>
          <w:rFonts w:asciiTheme="majorBidi" w:hAnsiTheme="majorBidi" w:cstheme="majorBidi"/>
        </w:rPr>
        <w:t xml:space="preserve"> Gut-Brain-Axis communication (created by Biorender.com)</w:t>
      </w:r>
    </w:p>
    <w:p w14:paraId="4BD9AE8A" w14:textId="7909AF0F" w:rsidR="000D0431" w:rsidRDefault="000D0431" w:rsidP="00712147">
      <w:pPr>
        <w:jc w:val="both"/>
        <w:rPr>
          <w:rFonts w:asciiTheme="majorBidi" w:hAnsiTheme="majorBidi" w:cstheme="majorBidi"/>
        </w:rPr>
      </w:pPr>
    </w:p>
    <w:p w14:paraId="038DC4DE" w14:textId="70C63A35" w:rsidR="000D0431" w:rsidRDefault="000D0431" w:rsidP="00712147">
      <w:pPr>
        <w:jc w:val="both"/>
        <w:rPr>
          <w:rFonts w:asciiTheme="majorBidi" w:hAnsiTheme="majorBidi" w:cstheme="majorBidi"/>
        </w:rPr>
      </w:pPr>
    </w:p>
    <w:p w14:paraId="7FB400FB" w14:textId="37969598" w:rsidR="000D0431" w:rsidRDefault="000D0431" w:rsidP="00712147">
      <w:pPr>
        <w:jc w:val="both"/>
        <w:rPr>
          <w:rFonts w:asciiTheme="majorBidi" w:hAnsiTheme="majorBidi" w:cstheme="majorBidi"/>
        </w:rPr>
      </w:pPr>
    </w:p>
    <w:p w14:paraId="26F5BE2A" w14:textId="3C8D11D9" w:rsidR="000D0431" w:rsidRDefault="000D0431" w:rsidP="00712147">
      <w:pPr>
        <w:jc w:val="both"/>
        <w:rPr>
          <w:rFonts w:asciiTheme="majorBidi" w:hAnsiTheme="majorBidi" w:cstheme="majorBidi"/>
        </w:rPr>
      </w:pPr>
    </w:p>
    <w:p w14:paraId="0AF27B57" w14:textId="1372735A" w:rsidR="000D0431" w:rsidRDefault="000D0431" w:rsidP="00712147">
      <w:pPr>
        <w:jc w:val="both"/>
        <w:rPr>
          <w:rFonts w:asciiTheme="majorBidi" w:hAnsiTheme="majorBidi" w:cstheme="majorBidi"/>
        </w:rPr>
      </w:pPr>
    </w:p>
    <w:p w14:paraId="28C006C2" w14:textId="1A1E0BAC" w:rsidR="000D0431" w:rsidRDefault="000D0431" w:rsidP="00712147">
      <w:pPr>
        <w:jc w:val="both"/>
        <w:rPr>
          <w:rFonts w:asciiTheme="majorBidi" w:hAnsiTheme="majorBidi" w:cstheme="majorBidi"/>
        </w:rPr>
      </w:pPr>
    </w:p>
    <w:p w14:paraId="0DB28806" w14:textId="15190D0C" w:rsidR="000D0431" w:rsidRDefault="000D0431" w:rsidP="00712147">
      <w:pPr>
        <w:jc w:val="both"/>
        <w:rPr>
          <w:rFonts w:asciiTheme="majorBidi" w:hAnsiTheme="majorBidi" w:cstheme="majorBidi"/>
        </w:rPr>
      </w:pPr>
    </w:p>
    <w:p w14:paraId="7D16480B" w14:textId="5AD6C129" w:rsidR="000D0431" w:rsidRDefault="000D0431" w:rsidP="00712147">
      <w:pPr>
        <w:jc w:val="both"/>
        <w:rPr>
          <w:rFonts w:asciiTheme="majorBidi" w:hAnsiTheme="majorBidi" w:cstheme="majorBidi"/>
        </w:rPr>
      </w:pPr>
    </w:p>
    <w:p w14:paraId="7BBD22C6" w14:textId="21EC00D0" w:rsidR="000D0431" w:rsidRDefault="000D0431" w:rsidP="00712147">
      <w:pPr>
        <w:jc w:val="both"/>
        <w:rPr>
          <w:rFonts w:asciiTheme="majorBidi" w:hAnsiTheme="majorBidi" w:cstheme="majorBidi"/>
        </w:rPr>
      </w:pPr>
    </w:p>
    <w:p w14:paraId="75E80134" w14:textId="60831955" w:rsidR="000D0431" w:rsidRDefault="000D0431" w:rsidP="00712147">
      <w:pPr>
        <w:jc w:val="both"/>
        <w:rPr>
          <w:rFonts w:asciiTheme="majorBidi" w:hAnsiTheme="majorBidi" w:cstheme="majorBidi"/>
        </w:rPr>
      </w:pPr>
    </w:p>
    <w:p w14:paraId="206FAC05" w14:textId="772702FF" w:rsidR="000D0431" w:rsidRDefault="000D0431" w:rsidP="00712147">
      <w:pPr>
        <w:jc w:val="both"/>
        <w:rPr>
          <w:rFonts w:asciiTheme="majorBidi" w:hAnsiTheme="majorBidi" w:cstheme="majorBidi"/>
        </w:rPr>
      </w:pPr>
    </w:p>
    <w:p w14:paraId="2EAADFE8" w14:textId="6C5C9714" w:rsidR="000D0431" w:rsidRDefault="000D0431" w:rsidP="00712147">
      <w:pPr>
        <w:jc w:val="both"/>
        <w:rPr>
          <w:rFonts w:asciiTheme="majorBidi" w:hAnsiTheme="majorBidi" w:cstheme="majorBidi"/>
        </w:rPr>
      </w:pPr>
    </w:p>
    <w:p w14:paraId="371CC544" w14:textId="65C883DD" w:rsidR="000D0431" w:rsidRDefault="000D0431" w:rsidP="00712147">
      <w:pPr>
        <w:jc w:val="both"/>
        <w:rPr>
          <w:rFonts w:asciiTheme="majorBidi" w:hAnsiTheme="majorBidi" w:cstheme="majorBidi"/>
        </w:rPr>
      </w:pPr>
    </w:p>
    <w:p w14:paraId="58779E09" w14:textId="7FF6968F" w:rsidR="000D0431" w:rsidRDefault="000D0431" w:rsidP="00712147">
      <w:pPr>
        <w:jc w:val="both"/>
        <w:rPr>
          <w:rFonts w:asciiTheme="majorBidi" w:hAnsiTheme="majorBidi" w:cstheme="majorBidi"/>
        </w:rPr>
      </w:pPr>
    </w:p>
    <w:p w14:paraId="31FADD3E" w14:textId="00065F94" w:rsidR="000D0431" w:rsidRDefault="000D0431" w:rsidP="00712147">
      <w:pPr>
        <w:jc w:val="both"/>
        <w:rPr>
          <w:rFonts w:asciiTheme="majorBidi" w:hAnsiTheme="majorBidi" w:cstheme="majorBidi"/>
        </w:rPr>
      </w:pPr>
    </w:p>
    <w:p w14:paraId="0F8D7242" w14:textId="4064F803" w:rsidR="000D0431" w:rsidRDefault="000D0431" w:rsidP="00712147">
      <w:pPr>
        <w:jc w:val="both"/>
        <w:rPr>
          <w:rFonts w:asciiTheme="majorBidi" w:hAnsiTheme="majorBidi" w:cstheme="majorBidi"/>
        </w:rPr>
      </w:pPr>
    </w:p>
    <w:p w14:paraId="7C8B6EC3" w14:textId="0C251725" w:rsidR="000D0431" w:rsidRDefault="000D0431" w:rsidP="00712147">
      <w:pPr>
        <w:jc w:val="both"/>
        <w:rPr>
          <w:rFonts w:asciiTheme="majorBidi" w:hAnsiTheme="majorBidi" w:cstheme="majorBidi"/>
        </w:rPr>
      </w:pPr>
    </w:p>
    <w:p w14:paraId="05F593ED" w14:textId="3938A864" w:rsidR="000D0431" w:rsidRDefault="000D0431" w:rsidP="00712147">
      <w:pPr>
        <w:jc w:val="both"/>
        <w:rPr>
          <w:rFonts w:asciiTheme="majorBidi" w:hAnsiTheme="majorBidi" w:cstheme="majorBidi"/>
        </w:rPr>
      </w:pPr>
    </w:p>
    <w:p w14:paraId="4DA0CE22" w14:textId="2D10C4F8" w:rsidR="000D0431" w:rsidRDefault="000D0431" w:rsidP="00712147">
      <w:pPr>
        <w:jc w:val="both"/>
        <w:rPr>
          <w:rFonts w:asciiTheme="majorBidi" w:hAnsiTheme="majorBidi" w:cstheme="majorBidi"/>
        </w:rPr>
      </w:pPr>
    </w:p>
    <w:p w14:paraId="77613708" w14:textId="67891F0C" w:rsidR="000D0431" w:rsidRDefault="000D0431" w:rsidP="00712147">
      <w:pPr>
        <w:jc w:val="both"/>
        <w:rPr>
          <w:rFonts w:asciiTheme="majorBidi" w:hAnsiTheme="majorBidi" w:cstheme="majorBidi"/>
        </w:rPr>
      </w:pPr>
    </w:p>
    <w:p w14:paraId="1278F3FE" w14:textId="45350894" w:rsidR="000D0431" w:rsidRDefault="000D0431" w:rsidP="00712147">
      <w:pPr>
        <w:jc w:val="both"/>
        <w:rPr>
          <w:rFonts w:asciiTheme="majorBidi" w:hAnsiTheme="majorBidi" w:cstheme="majorBidi"/>
        </w:rPr>
      </w:pPr>
    </w:p>
    <w:p w14:paraId="1E96DD2D" w14:textId="1CAFBECC" w:rsidR="000D0431" w:rsidRDefault="000D0431" w:rsidP="00712147">
      <w:pPr>
        <w:jc w:val="both"/>
        <w:rPr>
          <w:rFonts w:asciiTheme="majorBidi" w:hAnsiTheme="majorBidi" w:cstheme="majorBidi"/>
        </w:rPr>
      </w:pPr>
    </w:p>
    <w:p w14:paraId="1D375B79" w14:textId="6FBCEFBF" w:rsidR="000D0431" w:rsidRDefault="000D0431" w:rsidP="00712147">
      <w:pPr>
        <w:jc w:val="both"/>
        <w:rPr>
          <w:rFonts w:asciiTheme="majorBidi" w:hAnsiTheme="majorBidi" w:cstheme="majorBidi"/>
        </w:rPr>
      </w:pPr>
    </w:p>
    <w:p w14:paraId="562FA7C7" w14:textId="3EAB2012" w:rsidR="000D0431" w:rsidRDefault="000D0431" w:rsidP="000D0431">
      <w:pPr>
        <w:jc w:val="both"/>
        <w:rPr>
          <w:rFonts w:asciiTheme="majorBidi" w:hAnsiTheme="majorBidi" w:cstheme="majorBidi"/>
        </w:rPr>
      </w:pPr>
      <w:r>
        <w:rPr>
          <w:rFonts w:asciiTheme="majorBidi" w:hAnsiTheme="majorBidi" w:cstheme="majorBidi"/>
          <w:noProof/>
          <w:lang w:bidi="fa-IR"/>
        </w:rPr>
        <w:drawing>
          <wp:inline distT="0" distB="0" distL="0" distR="0" wp14:anchorId="658DE35B" wp14:editId="58373E9D">
            <wp:extent cx="5944235" cy="41636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4235" cy="4163695"/>
                    </a:xfrm>
                    <a:prstGeom prst="rect">
                      <a:avLst/>
                    </a:prstGeom>
                    <a:noFill/>
                  </pic:spPr>
                </pic:pic>
              </a:graphicData>
            </a:graphic>
          </wp:inline>
        </w:drawing>
      </w:r>
    </w:p>
    <w:p w14:paraId="40B011F5" w14:textId="3DADB3A7" w:rsidR="000D0431" w:rsidRDefault="000D0431" w:rsidP="00712147">
      <w:pPr>
        <w:jc w:val="both"/>
        <w:rPr>
          <w:rFonts w:asciiTheme="majorBidi" w:hAnsiTheme="majorBidi" w:cstheme="majorBidi"/>
        </w:rPr>
      </w:pPr>
    </w:p>
    <w:p w14:paraId="7265BA60" w14:textId="77777777" w:rsidR="000D0431" w:rsidRPr="000D0431" w:rsidRDefault="000D0431" w:rsidP="000D0431">
      <w:pPr>
        <w:jc w:val="both"/>
        <w:rPr>
          <w:rFonts w:asciiTheme="majorBidi" w:hAnsiTheme="majorBidi" w:cstheme="majorBidi"/>
        </w:rPr>
      </w:pPr>
      <w:proofErr w:type="gramStart"/>
      <w:r w:rsidRPr="000D0431">
        <w:rPr>
          <w:rFonts w:asciiTheme="majorBidi" w:hAnsiTheme="majorBidi" w:cstheme="majorBidi"/>
        </w:rPr>
        <w:t>Fig 2.</w:t>
      </w:r>
      <w:proofErr w:type="gramEnd"/>
      <w:r w:rsidRPr="000D0431">
        <w:rPr>
          <w:rFonts w:asciiTheme="majorBidi" w:hAnsiTheme="majorBidi" w:cstheme="majorBidi"/>
        </w:rPr>
        <w:t xml:space="preserve"> Gut microbial metabolites: The functional effect of SCFAs on signal transduction pathways. (</w:t>
      </w:r>
      <w:proofErr w:type="gramStart"/>
      <w:r w:rsidRPr="000D0431">
        <w:rPr>
          <w:rFonts w:asciiTheme="majorBidi" w:hAnsiTheme="majorBidi" w:cstheme="majorBidi"/>
        </w:rPr>
        <w:t>created</w:t>
      </w:r>
      <w:proofErr w:type="gramEnd"/>
      <w:r w:rsidRPr="000D0431">
        <w:rPr>
          <w:rFonts w:asciiTheme="majorBidi" w:hAnsiTheme="majorBidi" w:cstheme="majorBidi"/>
        </w:rPr>
        <w:t xml:space="preserve"> by Biorender.com)</w:t>
      </w:r>
    </w:p>
    <w:p w14:paraId="4BD1EABA" w14:textId="24AAF78E" w:rsidR="000D0431" w:rsidRDefault="000D0431" w:rsidP="00712147">
      <w:pPr>
        <w:jc w:val="both"/>
        <w:rPr>
          <w:rFonts w:asciiTheme="majorBidi" w:hAnsiTheme="majorBidi" w:cstheme="majorBidi"/>
        </w:rPr>
      </w:pPr>
    </w:p>
    <w:p w14:paraId="4DE7B9CF" w14:textId="4DD00F04" w:rsidR="000D0431" w:rsidRDefault="000D0431" w:rsidP="00712147">
      <w:pPr>
        <w:jc w:val="both"/>
        <w:rPr>
          <w:rFonts w:asciiTheme="majorBidi" w:hAnsiTheme="majorBidi" w:cstheme="majorBidi"/>
        </w:rPr>
      </w:pPr>
    </w:p>
    <w:p w14:paraId="41DCFDF8" w14:textId="5607F40D" w:rsidR="000D0431" w:rsidRDefault="000D0431" w:rsidP="00712147">
      <w:pPr>
        <w:jc w:val="both"/>
        <w:rPr>
          <w:rFonts w:asciiTheme="majorBidi" w:hAnsiTheme="majorBidi" w:cstheme="majorBidi"/>
        </w:rPr>
      </w:pPr>
    </w:p>
    <w:p w14:paraId="0A2A7237" w14:textId="196C5324" w:rsidR="000D0431" w:rsidRDefault="000D0431" w:rsidP="00712147">
      <w:pPr>
        <w:jc w:val="both"/>
        <w:rPr>
          <w:rFonts w:asciiTheme="majorBidi" w:hAnsiTheme="majorBidi" w:cstheme="majorBidi"/>
        </w:rPr>
      </w:pPr>
    </w:p>
    <w:p w14:paraId="6BBE5787" w14:textId="0030D2E1" w:rsidR="000D0431" w:rsidRDefault="000D0431" w:rsidP="00712147">
      <w:pPr>
        <w:jc w:val="both"/>
        <w:rPr>
          <w:rFonts w:asciiTheme="majorBidi" w:hAnsiTheme="majorBidi" w:cstheme="majorBidi"/>
        </w:rPr>
      </w:pPr>
    </w:p>
    <w:p w14:paraId="6C16A687" w14:textId="3BFF6A01" w:rsidR="000D0431" w:rsidRDefault="000D0431" w:rsidP="00712147">
      <w:pPr>
        <w:jc w:val="both"/>
        <w:rPr>
          <w:rFonts w:asciiTheme="majorBidi" w:hAnsiTheme="majorBidi" w:cstheme="majorBidi"/>
        </w:rPr>
      </w:pPr>
    </w:p>
    <w:p w14:paraId="50926BDF" w14:textId="1C413D1B" w:rsidR="000D0431" w:rsidRDefault="000D0431" w:rsidP="00712147">
      <w:pPr>
        <w:jc w:val="both"/>
        <w:rPr>
          <w:rFonts w:asciiTheme="majorBidi" w:hAnsiTheme="majorBidi" w:cstheme="majorBidi"/>
        </w:rPr>
      </w:pPr>
    </w:p>
    <w:p w14:paraId="0DD1E84A" w14:textId="48C90A31" w:rsidR="000D0431" w:rsidRDefault="000D0431" w:rsidP="00712147">
      <w:pPr>
        <w:jc w:val="both"/>
        <w:rPr>
          <w:rFonts w:asciiTheme="majorBidi" w:hAnsiTheme="majorBidi" w:cstheme="majorBidi"/>
        </w:rPr>
      </w:pPr>
    </w:p>
    <w:p w14:paraId="6398D330" w14:textId="78EACD06" w:rsidR="000D0431" w:rsidRDefault="000D0431" w:rsidP="00712147">
      <w:pPr>
        <w:jc w:val="both"/>
        <w:rPr>
          <w:rFonts w:asciiTheme="majorBidi" w:hAnsiTheme="majorBidi" w:cstheme="majorBidi"/>
        </w:rPr>
      </w:pPr>
    </w:p>
    <w:p w14:paraId="62C8514B" w14:textId="39E39CAA" w:rsidR="000D0431" w:rsidRDefault="000D0431" w:rsidP="00712147">
      <w:pPr>
        <w:jc w:val="both"/>
        <w:rPr>
          <w:rFonts w:asciiTheme="majorBidi" w:hAnsiTheme="majorBidi" w:cstheme="majorBidi"/>
        </w:rPr>
      </w:pPr>
    </w:p>
    <w:p w14:paraId="6BFDE73E" w14:textId="069D2C4A" w:rsidR="000D0431" w:rsidRDefault="000D0431" w:rsidP="00712147">
      <w:pPr>
        <w:jc w:val="both"/>
        <w:rPr>
          <w:rFonts w:asciiTheme="majorBidi" w:hAnsiTheme="majorBidi" w:cstheme="majorBidi"/>
        </w:rPr>
      </w:pPr>
    </w:p>
    <w:p w14:paraId="56B8C29C" w14:textId="090ECF90" w:rsidR="000D0431" w:rsidRDefault="000D0431" w:rsidP="00712147">
      <w:pPr>
        <w:jc w:val="both"/>
        <w:rPr>
          <w:rFonts w:asciiTheme="majorBidi" w:hAnsiTheme="majorBidi" w:cstheme="majorBidi"/>
        </w:rPr>
      </w:pPr>
    </w:p>
    <w:p w14:paraId="183D8894" w14:textId="0BAD5143" w:rsidR="000D0431" w:rsidRDefault="000D0431" w:rsidP="00712147">
      <w:pPr>
        <w:jc w:val="both"/>
        <w:rPr>
          <w:rFonts w:asciiTheme="majorBidi" w:hAnsiTheme="majorBidi" w:cstheme="majorBidi"/>
        </w:rPr>
      </w:pPr>
    </w:p>
    <w:p w14:paraId="474BF925" w14:textId="48A1CF7E" w:rsidR="000D0431" w:rsidRDefault="000D0431" w:rsidP="00712147">
      <w:pPr>
        <w:jc w:val="both"/>
        <w:rPr>
          <w:rFonts w:asciiTheme="majorBidi" w:hAnsiTheme="majorBidi" w:cstheme="majorBidi"/>
        </w:rPr>
      </w:pPr>
    </w:p>
    <w:p w14:paraId="02A1E075" w14:textId="172C8727" w:rsidR="000D0431" w:rsidRDefault="000D0431" w:rsidP="00712147">
      <w:pPr>
        <w:jc w:val="both"/>
        <w:rPr>
          <w:rFonts w:asciiTheme="majorBidi" w:hAnsiTheme="majorBidi" w:cstheme="majorBidi"/>
        </w:rPr>
      </w:pPr>
    </w:p>
    <w:p w14:paraId="2249A1D0" w14:textId="7DD16D58" w:rsidR="000D0431" w:rsidRDefault="000D0431" w:rsidP="00712147">
      <w:pPr>
        <w:jc w:val="both"/>
        <w:rPr>
          <w:rFonts w:asciiTheme="majorBidi" w:hAnsiTheme="majorBidi" w:cstheme="majorBidi"/>
        </w:rPr>
      </w:pPr>
    </w:p>
    <w:p w14:paraId="665CBF6E" w14:textId="0F28BF8C" w:rsidR="000D0431" w:rsidRDefault="000D0431" w:rsidP="00712147">
      <w:pPr>
        <w:jc w:val="both"/>
        <w:rPr>
          <w:rFonts w:asciiTheme="majorBidi" w:hAnsiTheme="majorBidi" w:cstheme="majorBidi"/>
        </w:rPr>
      </w:pPr>
    </w:p>
    <w:p w14:paraId="29491682" w14:textId="73F138FD" w:rsidR="000D0431" w:rsidRDefault="000D0431" w:rsidP="00712147">
      <w:pPr>
        <w:jc w:val="both"/>
        <w:rPr>
          <w:rFonts w:asciiTheme="majorBidi" w:hAnsiTheme="majorBidi" w:cstheme="majorBidi"/>
        </w:rPr>
      </w:pPr>
    </w:p>
    <w:p w14:paraId="082431DB" w14:textId="6F99606B" w:rsidR="000D0431" w:rsidRDefault="000D0431" w:rsidP="00712147">
      <w:pPr>
        <w:jc w:val="both"/>
        <w:rPr>
          <w:rFonts w:asciiTheme="majorBidi" w:hAnsiTheme="majorBidi" w:cstheme="majorBidi"/>
        </w:rPr>
      </w:pPr>
    </w:p>
    <w:p w14:paraId="6A14DC1C" w14:textId="2D091182" w:rsidR="000D0431" w:rsidRDefault="000D0431" w:rsidP="00712147">
      <w:pPr>
        <w:jc w:val="both"/>
        <w:rPr>
          <w:rFonts w:asciiTheme="majorBidi" w:hAnsiTheme="majorBidi" w:cstheme="majorBidi"/>
        </w:rPr>
      </w:pPr>
      <w:r>
        <w:rPr>
          <w:rFonts w:asciiTheme="majorBidi" w:hAnsiTheme="majorBidi" w:cstheme="majorBidi"/>
          <w:noProof/>
          <w:lang w:bidi="fa-IR"/>
        </w:rPr>
        <w:drawing>
          <wp:inline distT="0" distB="0" distL="0" distR="0" wp14:anchorId="27EF25FF" wp14:editId="115CB7EF">
            <wp:extent cx="5944235" cy="37553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4235" cy="3755390"/>
                    </a:xfrm>
                    <a:prstGeom prst="rect">
                      <a:avLst/>
                    </a:prstGeom>
                    <a:noFill/>
                  </pic:spPr>
                </pic:pic>
              </a:graphicData>
            </a:graphic>
          </wp:inline>
        </w:drawing>
      </w:r>
    </w:p>
    <w:p w14:paraId="4EEFC473" w14:textId="5F5041AC" w:rsidR="000D0431" w:rsidRDefault="000D0431" w:rsidP="00712147">
      <w:pPr>
        <w:jc w:val="both"/>
        <w:rPr>
          <w:rFonts w:asciiTheme="majorBidi" w:hAnsiTheme="majorBidi" w:cstheme="majorBidi"/>
        </w:rPr>
      </w:pPr>
    </w:p>
    <w:p w14:paraId="24F451C8" w14:textId="4BF22785" w:rsidR="000D0431" w:rsidRDefault="000D0431" w:rsidP="00712147">
      <w:pPr>
        <w:jc w:val="both"/>
        <w:rPr>
          <w:rFonts w:asciiTheme="majorBidi" w:hAnsiTheme="majorBidi" w:cstheme="majorBidi"/>
        </w:rPr>
      </w:pPr>
    </w:p>
    <w:p w14:paraId="23E2E632" w14:textId="147EE015" w:rsidR="000D0431" w:rsidRDefault="000D0431" w:rsidP="00712147">
      <w:pPr>
        <w:jc w:val="both"/>
        <w:rPr>
          <w:rFonts w:asciiTheme="majorBidi" w:hAnsiTheme="majorBidi" w:cstheme="majorBidi"/>
        </w:rPr>
      </w:pPr>
      <w:proofErr w:type="gramStart"/>
      <w:r w:rsidRPr="000D0431">
        <w:rPr>
          <w:rFonts w:asciiTheme="majorBidi" w:hAnsiTheme="majorBidi" w:cstheme="majorBidi"/>
        </w:rPr>
        <w:t>Fig 3.</w:t>
      </w:r>
      <w:proofErr w:type="gramEnd"/>
      <w:r w:rsidRPr="000D0431">
        <w:rPr>
          <w:rFonts w:asciiTheme="majorBidi" w:hAnsiTheme="majorBidi" w:cstheme="majorBidi"/>
        </w:rPr>
        <w:t xml:space="preserve"> Kill switch design concept (created with Biorender.com). A) Permissive condition has low level of the toxin which is repressed. B) The effect of environment changing on non-permissive condition leads to increase the level of toxin which no longer capable to inhibit a lethal level of free toxin.</w:t>
      </w:r>
    </w:p>
    <w:p w14:paraId="62674491" w14:textId="2EBE5EB2" w:rsidR="00C47D9D" w:rsidRDefault="00C47D9D" w:rsidP="00712147">
      <w:pPr>
        <w:jc w:val="both"/>
        <w:rPr>
          <w:rFonts w:asciiTheme="majorBidi" w:hAnsiTheme="majorBidi" w:cstheme="majorBidi"/>
        </w:rPr>
      </w:pPr>
    </w:p>
    <w:p w14:paraId="58439B58" w14:textId="34AB6027" w:rsidR="00C47D9D" w:rsidRDefault="00C47D9D" w:rsidP="00712147">
      <w:pPr>
        <w:jc w:val="both"/>
        <w:rPr>
          <w:rFonts w:asciiTheme="majorBidi" w:hAnsiTheme="majorBidi" w:cstheme="majorBidi"/>
        </w:rPr>
      </w:pPr>
    </w:p>
    <w:p w14:paraId="2D948233" w14:textId="3553A3B0" w:rsidR="00C47D9D" w:rsidRDefault="00C47D9D" w:rsidP="00712147">
      <w:pPr>
        <w:jc w:val="both"/>
        <w:rPr>
          <w:rFonts w:asciiTheme="majorBidi" w:hAnsiTheme="majorBidi" w:cstheme="majorBidi"/>
        </w:rPr>
      </w:pPr>
    </w:p>
    <w:p w14:paraId="64BB6383" w14:textId="03E58ADC" w:rsidR="00C47D9D" w:rsidRDefault="00C47D9D" w:rsidP="00712147">
      <w:pPr>
        <w:jc w:val="both"/>
        <w:rPr>
          <w:rFonts w:asciiTheme="majorBidi" w:hAnsiTheme="majorBidi" w:cstheme="majorBidi"/>
        </w:rPr>
      </w:pPr>
    </w:p>
    <w:p w14:paraId="180CCD7A" w14:textId="3E337399" w:rsidR="00C47D9D" w:rsidRDefault="00C47D9D" w:rsidP="00712147">
      <w:pPr>
        <w:jc w:val="both"/>
        <w:rPr>
          <w:rFonts w:asciiTheme="majorBidi" w:hAnsiTheme="majorBidi" w:cstheme="majorBidi"/>
        </w:rPr>
      </w:pPr>
    </w:p>
    <w:p w14:paraId="56E689D9" w14:textId="65433ECB" w:rsidR="00C47D9D" w:rsidRDefault="00C47D9D" w:rsidP="00712147">
      <w:pPr>
        <w:jc w:val="both"/>
        <w:rPr>
          <w:rFonts w:asciiTheme="majorBidi" w:hAnsiTheme="majorBidi" w:cstheme="majorBidi"/>
        </w:rPr>
      </w:pPr>
    </w:p>
    <w:p w14:paraId="5FCCE057" w14:textId="51C74757" w:rsidR="00C47D9D" w:rsidRDefault="00C47D9D" w:rsidP="00712147">
      <w:pPr>
        <w:jc w:val="both"/>
        <w:rPr>
          <w:rFonts w:asciiTheme="majorBidi" w:hAnsiTheme="majorBidi" w:cstheme="majorBidi"/>
        </w:rPr>
      </w:pPr>
    </w:p>
    <w:p w14:paraId="6508B75C" w14:textId="1A6F2DB3" w:rsidR="00C47D9D" w:rsidRDefault="00C47D9D" w:rsidP="00712147">
      <w:pPr>
        <w:jc w:val="both"/>
        <w:rPr>
          <w:rFonts w:asciiTheme="majorBidi" w:hAnsiTheme="majorBidi" w:cstheme="majorBidi"/>
        </w:rPr>
      </w:pPr>
    </w:p>
    <w:p w14:paraId="3638E75F" w14:textId="22451A42" w:rsidR="00C47D9D" w:rsidRDefault="00C47D9D" w:rsidP="00712147">
      <w:pPr>
        <w:jc w:val="both"/>
        <w:rPr>
          <w:rFonts w:asciiTheme="majorBidi" w:hAnsiTheme="majorBidi" w:cstheme="majorBidi"/>
        </w:rPr>
      </w:pPr>
    </w:p>
    <w:p w14:paraId="500D2121" w14:textId="22BCCFF3" w:rsidR="008B543B" w:rsidRDefault="008B543B" w:rsidP="00712147">
      <w:pPr>
        <w:jc w:val="both"/>
        <w:rPr>
          <w:rFonts w:asciiTheme="majorBidi" w:hAnsiTheme="majorBidi" w:cstheme="majorBidi"/>
        </w:rPr>
      </w:pPr>
    </w:p>
    <w:p w14:paraId="40825267" w14:textId="62A00AF0" w:rsidR="008B543B" w:rsidRDefault="008B543B" w:rsidP="00712147">
      <w:pPr>
        <w:jc w:val="both"/>
        <w:rPr>
          <w:rFonts w:asciiTheme="majorBidi" w:hAnsiTheme="majorBidi" w:cstheme="majorBidi"/>
        </w:rPr>
      </w:pPr>
    </w:p>
    <w:p w14:paraId="30D08B01" w14:textId="4B717BD5" w:rsidR="008B543B" w:rsidRDefault="008B543B" w:rsidP="00712147">
      <w:pPr>
        <w:jc w:val="both"/>
        <w:rPr>
          <w:rFonts w:asciiTheme="majorBidi" w:hAnsiTheme="majorBidi" w:cstheme="majorBidi"/>
        </w:rPr>
      </w:pPr>
    </w:p>
    <w:p w14:paraId="5BA86561" w14:textId="6646339F" w:rsidR="008B543B" w:rsidRDefault="008B543B" w:rsidP="00712147">
      <w:pPr>
        <w:jc w:val="both"/>
        <w:rPr>
          <w:rFonts w:asciiTheme="majorBidi" w:hAnsiTheme="majorBidi" w:cstheme="majorBidi"/>
        </w:rPr>
      </w:pPr>
    </w:p>
    <w:p w14:paraId="2E373E7E" w14:textId="1865388D" w:rsidR="008B543B" w:rsidRDefault="008B543B" w:rsidP="00712147">
      <w:pPr>
        <w:jc w:val="both"/>
        <w:rPr>
          <w:rFonts w:asciiTheme="majorBidi" w:hAnsiTheme="majorBidi" w:cstheme="majorBidi"/>
        </w:rPr>
      </w:pPr>
    </w:p>
    <w:p w14:paraId="7E37255A" w14:textId="24A0ED60" w:rsidR="008B543B" w:rsidRDefault="008B543B" w:rsidP="00712147">
      <w:pPr>
        <w:jc w:val="both"/>
        <w:rPr>
          <w:rFonts w:asciiTheme="majorBidi" w:hAnsiTheme="majorBidi" w:cstheme="majorBidi"/>
        </w:rPr>
      </w:pPr>
    </w:p>
    <w:p w14:paraId="4CBF4322" w14:textId="607F3F39" w:rsidR="008B543B" w:rsidRDefault="008B543B" w:rsidP="00712147">
      <w:pPr>
        <w:jc w:val="both"/>
        <w:rPr>
          <w:rFonts w:asciiTheme="majorBidi" w:hAnsiTheme="majorBidi" w:cstheme="majorBidi"/>
        </w:rPr>
      </w:pPr>
    </w:p>
    <w:p w14:paraId="0CA95FAD" w14:textId="58C82DE3" w:rsidR="008B543B" w:rsidRDefault="008B543B" w:rsidP="00712147">
      <w:pPr>
        <w:jc w:val="both"/>
        <w:rPr>
          <w:rFonts w:asciiTheme="majorBidi" w:hAnsiTheme="majorBidi" w:cstheme="majorBidi"/>
        </w:rPr>
      </w:pPr>
    </w:p>
    <w:p w14:paraId="12954698" w14:textId="77777777" w:rsidR="008B543B" w:rsidRDefault="008B543B" w:rsidP="00712147">
      <w:pPr>
        <w:jc w:val="both"/>
        <w:rPr>
          <w:rFonts w:asciiTheme="majorBidi" w:hAnsiTheme="majorBidi" w:cstheme="majorBidi"/>
        </w:rPr>
      </w:pPr>
    </w:p>
    <w:p w14:paraId="669EB4AD" w14:textId="71864668" w:rsidR="00C47D9D" w:rsidRDefault="00C47D9D" w:rsidP="00712147">
      <w:pPr>
        <w:jc w:val="both"/>
        <w:rPr>
          <w:rFonts w:asciiTheme="majorBidi" w:hAnsiTheme="majorBidi" w:cstheme="majorBidi"/>
        </w:rPr>
      </w:pPr>
    </w:p>
    <w:p w14:paraId="474803C2" w14:textId="30C50C9C" w:rsidR="00C47D9D" w:rsidRDefault="00C47D9D" w:rsidP="00712147">
      <w:pPr>
        <w:jc w:val="both"/>
        <w:rPr>
          <w:rFonts w:asciiTheme="majorBidi" w:hAnsiTheme="majorBidi" w:cstheme="majorBidi"/>
        </w:rPr>
      </w:pPr>
    </w:p>
    <w:p w14:paraId="500450D7" w14:textId="77777777" w:rsidR="00C47D9D" w:rsidRPr="00C47D9D" w:rsidRDefault="00C47D9D" w:rsidP="00C47D9D">
      <w:pPr>
        <w:jc w:val="both"/>
        <w:rPr>
          <w:rFonts w:asciiTheme="majorBidi" w:hAnsiTheme="majorBidi" w:cstheme="majorBidi"/>
        </w:rPr>
      </w:pPr>
    </w:p>
    <w:p w14:paraId="4CC103C4" w14:textId="185EDC8A" w:rsidR="00C47D9D" w:rsidRDefault="00C47D9D" w:rsidP="002230E2">
      <w:pPr>
        <w:jc w:val="both"/>
        <w:rPr>
          <w:rFonts w:asciiTheme="majorBidi" w:hAnsiTheme="majorBidi" w:cstheme="majorBidi"/>
        </w:rPr>
      </w:pPr>
      <w:proofErr w:type="gramStart"/>
      <w:r w:rsidRPr="00C47D9D">
        <w:rPr>
          <w:rFonts w:asciiTheme="majorBidi" w:hAnsiTheme="majorBidi" w:cstheme="majorBidi"/>
        </w:rPr>
        <w:t>Table 1.</w:t>
      </w:r>
      <w:proofErr w:type="gramEnd"/>
      <w:r w:rsidRPr="00C47D9D">
        <w:rPr>
          <w:rFonts w:asciiTheme="majorBidi" w:hAnsiTheme="majorBidi" w:cstheme="majorBidi"/>
        </w:rPr>
        <w:t xml:space="preserve"> Classification of </w:t>
      </w:r>
      <w:proofErr w:type="spellStart"/>
      <w:r w:rsidRPr="00C47D9D">
        <w:rPr>
          <w:rFonts w:asciiTheme="majorBidi" w:hAnsiTheme="majorBidi" w:cstheme="majorBidi"/>
        </w:rPr>
        <w:t>postbiotics</w:t>
      </w:r>
      <w:proofErr w:type="spellEnd"/>
    </w:p>
    <w:p w14:paraId="77FA854D" w14:textId="1B5ED87B" w:rsidR="00C47D9D" w:rsidRPr="00C47D9D" w:rsidRDefault="00C47D9D" w:rsidP="00C47D9D">
      <w:pPr>
        <w:jc w:val="both"/>
        <w:rPr>
          <w:rFonts w:asciiTheme="majorBidi" w:hAnsiTheme="majorBidi" w:cstheme="majorBidi"/>
        </w:rPr>
      </w:pPr>
      <w:r w:rsidRPr="00C47D9D">
        <w:rPr>
          <w:rFonts w:asciiTheme="majorBidi" w:hAnsiTheme="majorBidi" w:cstheme="majorBidi"/>
          <w:noProof/>
          <w:lang w:bidi="fa-IR"/>
        </w:rPr>
        <w:drawing>
          <wp:inline distT="0" distB="0" distL="0" distR="0" wp14:anchorId="5F310E32" wp14:editId="5C03DDBF">
            <wp:extent cx="5943600" cy="34188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418840"/>
                    </a:xfrm>
                    <a:prstGeom prst="rect">
                      <a:avLst/>
                    </a:prstGeom>
                    <a:noFill/>
                    <a:ln>
                      <a:noFill/>
                    </a:ln>
                  </pic:spPr>
                </pic:pic>
              </a:graphicData>
            </a:graphic>
          </wp:inline>
        </w:drawing>
      </w:r>
    </w:p>
    <w:p w14:paraId="3C951391" w14:textId="218824D1" w:rsidR="00C47D9D" w:rsidRDefault="00C47D9D" w:rsidP="00712147">
      <w:pPr>
        <w:jc w:val="both"/>
        <w:rPr>
          <w:rFonts w:asciiTheme="majorBidi" w:hAnsiTheme="majorBidi" w:cstheme="majorBidi"/>
        </w:rPr>
      </w:pPr>
    </w:p>
    <w:p w14:paraId="7EF9222A" w14:textId="36A0A6F6" w:rsidR="00BF6FEE" w:rsidRDefault="00BF6FEE" w:rsidP="00712147">
      <w:pPr>
        <w:jc w:val="both"/>
        <w:rPr>
          <w:rFonts w:asciiTheme="majorBidi" w:hAnsiTheme="majorBidi" w:cstheme="majorBidi"/>
        </w:rPr>
      </w:pPr>
    </w:p>
    <w:p w14:paraId="4C31EF07" w14:textId="32ABBA35" w:rsidR="00BF6FEE" w:rsidRDefault="00BF6FEE" w:rsidP="00712147">
      <w:pPr>
        <w:jc w:val="both"/>
        <w:rPr>
          <w:rFonts w:asciiTheme="majorBidi" w:hAnsiTheme="majorBidi" w:cstheme="majorBidi"/>
        </w:rPr>
      </w:pPr>
    </w:p>
    <w:p w14:paraId="011354DB" w14:textId="0E5BCC1B" w:rsidR="00BF6FEE" w:rsidRDefault="00BF6FEE" w:rsidP="00712147">
      <w:pPr>
        <w:jc w:val="both"/>
        <w:rPr>
          <w:rFonts w:asciiTheme="majorBidi" w:hAnsiTheme="majorBidi" w:cstheme="majorBidi"/>
        </w:rPr>
      </w:pPr>
    </w:p>
    <w:p w14:paraId="72B1D37D" w14:textId="2B0B5EA5" w:rsidR="00BF6FEE" w:rsidRDefault="00BF6FEE" w:rsidP="00712147">
      <w:pPr>
        <w:jc w:val="both"/>
        <w:rPr>
          <w:rFonts w:asciiTheme="majorBidi" w:hAnsiTheme="majorBidi" w:cstheme="majorBidi"/>
        </w:rPr>
      </w:pPr>
    </w:p>
    <w:p w14:paraId="6E3A99B5" w14:textId="5927B6AE" w:rsidR="00BF6FEE" w:rsidRDefault="00BF6FEE" w:rsidP="00712147">
      <w:pPr>
        <w:jc w:val="both"/>
        <w:rPr>
          <w:rFonts w:asciiTheme="majorBidi" w:hAnsiTheme="majorBidi" w:cstheme="majorBidi"/>
        </w:rPr>
      </w:pPr>
    </w:p>
    <w:p w14:paraId="639809D9" w14:textId="5ABEC576" w:rsidR="00BF6FEE" w:rsidRDefault="00BF6FEE" w:rsidP="00712147">
      <w:pPr>
        <w:jc w:val="both"/>
        <w:rPr>
          <w:rFonts w:asciiTheme="majorBidi" w:hAnsiTheme="majorBidi" w:cstheme="majorBidi"/>
        </w:rPr>
      </w:pPr>
    </w:p>
    <w:p w14:paraId="63AA34D4" w14:textId="13B9979D" w:rsidR="00BF6FEE" w:rsidRDefault="00BF6FEE" w:rsidP="00712147">
      <w:pPr>
        <w:jc w:val="both"/>
        <w:rPr>
          <w:rFonts w:asciiTheme="majorBidi" w:hAnsiTheme="majorBidi" w:cstheme="majorBidi"/>
        </w:rPr>
      </w:pPr>
    </w:p>
    <w:p w14:paraId="51FA1968" w14:textId="02AD8D8A" w:rsidR="00BF6FEE" w:rsidRDefault="00BF6FEE" w:rsidP="00712147">
      <w:pPr>
        <w:jc w:val="both"/>
        <w:rPr>
          <w:rFonts w:asciiTheme="majorBidi" w:hAnsiTheme="majorBidi" w:cstheme="majorBidi"/>
        </w:rPr>
      </w:pPr>
    </w:p>
    <w:p w14:paraId="571BAA0B" w14:textId="5B5749B4" w:rsidR="00BF6FEE" w:rsidRDefault="00BF6FEE" w:rsidP="00712147">
      <w:pPr>
        <w:jc w:val="both"/>
        <w:rPr>
          <w:rFonts w:asciiTheme="majorBidi" w:hAnsiTheme="majorBidi" w:cstheme="majorBidi"/>
        </w:rPr>
      </w:pPr>
    </w:p>
    <w:p w14:paraId="3EB369D7" w14:textId="03F022B8" w:rsidR="00BF6FEE" w:rsidRDefault="00BF6FEE" w:rsidP="00712147">
      <w:pPr>
        <w:jc w:val="both"/>
        <w:rPr>
          <w:rFonts w:asciiTheme="majorBidi" w:hAnsiTheme="majorBidi" w:cstheme="majorBidi"/>
        </w:rPr>
      </w:pPr>
    </w:p>
    <w:p w14:paraId="2E709681" w14:textId="304AAC67" w:rsidR="00BF6FEE" w:rsidRDefault="00BF6FEE" w:rsidP="00712147">
      <w:pPr>
        <w:jc w:val="both"/>
        <w:rPr>
          <w:rFonts w:asciiTheme="majorBidi" w:hAnsiTheme="majorBidi" w:cstheme="majorBidi"/>
        </w:rPr>
      </w:pPr>
    </w:p>
    <w:p w14:paraId="3BC4C795" w14:textId="072962A5" w:rsidR="00BF6FEE" w:rsidRDefault="00BF6FEE" w:rsidP="00712147">
      <w:pPr>
        <w:jc w:val="both"/>
        <w:rPr>
          <w:rFonts w:asciiTheme="majorBidi" w:hAnsiTheme="majorBidi" w:cstheme="majorBidi"/>
        </w:rPr>
      </w:pPr>
    </w:p>
    <w:p w14:paraId="59B9FA4E" w14:textId="4EC45C2D" w:rsidR="00BF6FEE" w:rsidRDefault="00BF6FEE" w:rsidP="00712147">
      <w:pPr>
        <w:jc w:val="both"/>
        <w:rPr>
          <w:rFonts w:asciiTheme="majorBidi" w:hAnsiTheme="majorBidi" w:cstheme="majorBidi"/>
        </w:rPr>
      </w:pPr>
    </w:p>
    <w:p w14:paraId="5E10FC05" w14:textId="4CA12535" w:rsidR="00BF6FEE" w:rsidRDefault="00BF6FEE" w:rsidP="00712147">
      <w:pPr>
        <w:jc w:val="both"/>
        <w:rPr>
          <w:rFonts w:asciiTheme="majorBidi" w:hAnsiTheme="majorBidi" w:cstheme="majorBidi"/>
        </w:rPr>
      </w:pPr>
    </w:p>
    <w:p w14:paraId="5D1D307A" w14:textId="43D9AA70" w:rsidR="00BF6FEE" w:rsidRDefault="00BF6FEE" w:rsidP="00712147">
      <w:pPr>
        <w:jc w:val="both"/>
        <w:rPr>
          <w:rFonts w:asciiTheme="majorBidi" w:hAnsiTheme="majorBidi" w:cstheme="majorBidi"/>
        </w:rPr>
      </w:pPr>
    </w:p>
    <w:p w14:paraId="106C56AB" w14:textId="274598A4" w:rsidR="00BF6FEE" w:rsidRDefault="00BF6FEE" w:rsidP="00712147">
      <w:pPr>
        <w:jc w:val="both"/>
        <w:rPr>
          <w:rFonts w:asciiTheme="majorBidi" w:hAnsiTheme="majorBidi" w:cstheme="majorBidi"/>
        </w:rPr>
      </w:pPr>
    </w:p>
    <w:p w14:paraId="33FDA019" w14:textId="23F3B4BA" w:rsidR="00BF6FEE" w:rsidRDefault="00BF6FEE" w:rsidP="00712147">
      <w:pPr>
        <w:jc w:val="both"/>
        <w:rPr>
          <w:rFonts w:asciiTheme="majorBidi" w:hAnsiTheme="majorBidi" w:cstheme="majorBidi"/>
        </w:rPr>
      </w:pPr>
    </w:p>
    <w:p w14:paraId="57690EA6" w14:textId="7463D04A" w:rsidR="00BF6FEE" w:rsidRDefault="00BF6FEE" w:rsidP="00712147">
      <w:pPr>
        <w:jc w:val="both"/>
        <w:rPr>
          <w:rFonts w:asciiTheme="majorBidi" w:hAnsiTheme="majorBidi" w:cstheme="majorBidi"/>
        </w:rPr>
      </w:pPr>
    </w:p>
    <w:p w14:paraId="343AACDB" w14:textId="4A061EB5" w:rsidR="00BF6FEE" w:rsidRDefault="00BF6FEE" w:rsidP="00712147">
      <w:pPr>
        <w:jc w:val="both"/>
        <w:rPr>
          <w:rFonts w:asciiTheme="majorBidi" w:hAnsiTheme="majorBidi" w:cstheme="majorBidi"/>
        </w:rPr>
      </w:pPr>
    </w:p>
    <w:p w14:paraId="67D4D4BA" w14:textId="6AF1CEA4" w:rsidR="00BF6FEE" w:rsidRDefault="00BF6FEE" w:rsidP="00712147">
      <w:pPr>
        <w:jc w:val="both"/>
        <w:rPr>
          <w:rFonts w:asciiTheme="majorBidi" w:hAnsiTheme="majorBidi" w:cstheme="majorBidi"/>
        </w:rPr>
      </w:pPr>
    </w:p>
    <w:p w14:paraId="59915912" w14:textId="3812EC2B" w:rsidR="00BF6FEE" w:rsidRDefault="00BF6FEE" w:rsidP="00712147">
      <w:pPr>
        <w:jc w:val="both"/>
        <w:rPr>
          <w:rFonts w:asciiTheme="majorBidi" w:hAnsiTheme="majorBidi" w:cstheme="majorBidi"/>
        </w:rPr>
      </w:pPr>
    </w:p>
    <w:p w14:paraId="48FB0549" w14:textId="6106AF4A" w:rsidR="00BF6FEE" w:rsidRDefault="00BF6FEE" w:rsidP="00712147">
      <w:pPr>
        <w:jc w:val="both"/>
        <w:rPr>
          <w:rFonts w:asciiTheme="majorBidi" w:hAnsiTheme="majorBidi" w:cstheme="majorBidi"/>
        </w:rPr>
      </w:pPr>
    </w:p>
    <w:p w14:paraId="587F87B1" w14:textId="2F857B07" w:rsidR="00BF6FEE" w:rsidRDefault="00BF6FEE" w:rsidP="00712147">
      <w:pPr>
        <w:jc w:val="both"/>
        <w:rPr>
          <w:rFonts w:asciiTheme="majorBidi" w:hAnsiTheme="majorBidi" w:cstheme="majorBidi"/>
        </w:rPr>
      </w:pPr>
    </w:p>
    <w:p w14:paraId="2ECD7A56" w14:textId="1BDAF0F6" w:rsidR="00BF6FEE" w:rsidRDefault="00BF6FEE" w:rsidP="00712147">
      <w:pPr>
        <w:jc w:val="both"/>
        <w:rPr>
          <w:rFonts w:asciiTheme="majorBidi" w:hAnsiTheme="majorBidi" w:cstheme="majorBidi"/>
        </w:rPr>
      </w:pPr>
    </w:p>
    <w:p w14:paraId="395ADE4A" w14:textId="6E0E9D50" w:rsidR="00BF6FEE" w:rsidRDefault="00BF6FEE" w:rsidP="00712147">
      <w:pPr>
        <w:jc w:val="both"/>
        <w:rPr>
          <w:rFonts w:asciiTheme="majorBidi" w:hAnsiTheme="majorBidi" w:cstheme="majorBidi"/>
        </w:rPr>
      </w:pPr>
    </w:p>
    <w:p w14:paraId="41B5FD80" w14:textId="7DCADFA7" w:rsidR="00BF6FEE" w:rsidRDefault="00BF6FEE" w:rsidP="00712147">
      <w:pPr>
        <w:jc w:val="both"/>
        <w:rPr>
          <w:rFonts w:asciiTheme="majorBidi" w:hAnsiTheme="majorBidi" w:cstheme="majorBidi"/>
        </w:rPr>
      </w:pPr>
    </w:p>
    <w:p w14:paraId="6AF306CC" w14:textId="0858A724" w:rsidR="00BF6FEE" w:rsidRDefault="00BF6FEE" w:rsidP="00712147">
      <w:pPr>
        <w:jc w:val="both"/>
        <w:rPr>
          <w:rFonts w:asciiTheme="majorBidi" w:hAnsiTheme="majorBidi" w:cstheme="majorBidi"/>
        </w:rPr>
      </w:pPr>
    </w:p>
    <w:p w14:paraId="4C10BA43" w14:textId="38C6804C" w:rsidR="00BF6FEE" w:rsidRDefault="00BF6FEE" w:rsidP="00712147">
      <w:pPr>
        <w:jc w:val="both"/>
        <w:rPr>
          <w:rFonts w:asciiTheme="majorBidi" w:hAnsiTheme="majorBidi" w:cstheme="majorBidi"/>
        </w:rPr>
      </w:pPr>
    </w:p>
    <w:p w14:paraId="3234A2ED" w14:textId="285B243B" w:rsidR="00BF6FEE" w:rsidRDefault="00BF6FEE" w:rsidP="00712147">
      <w:pPr>
        <w:jc w:val="both"/>
        <w:rPr>
          <w:rFonts w:asciiTheme="majorBidi" w:hAnsiTheme="majorBidi" w:cstheme="majorBidi"/>
        </w:rPr>
      </w:pPr>
    </w:p>
    <w:p w14:paraId="48C656BD" w14:textId="77777777" w:rsidR="00BF6FEE" w:rsidRDefault="00BF6FEE" w:rsidP="00712147">
      <w:pPr>
        <w:jc w:val="both"/>
        <w:rPr>
          <w:rFonts w:asciiTheme="majorBidi" w:hAnsiTheme="majorBidi" w:cstheme="majorBidi"/>
        </w:rPr>
      </w:pPr>
    </w:p>
    <w:p w14:paraId="0469DCC0" w14:textId="6C46623A" w:rsidR="00BF6FEE" w:rsidRDefault="00BF6FEE" w:rsidP="00712147">
      <w:pPr>
        <w:jc w:val="both"/>
        <w:rPr>
          <w:rFonts w:asciiTheme="majorBidi" w:hAnsiTheme="majorBidi" w:cstheme="majorBidi"/>
        </w:rPr>
      </w:pPr>
    </w:p>
    <w:p w14:paraId="633338EA" w14:textId="3F1B4DF0" w:rsidR="00BF6FEE" w:rsidRDefault="00BF6FEE" w:rsidP="00712147">
      <w:pPr>
        <w:jc w:val="both"/>
        <w:rPr>
          <w:rFonts w:asciiTheme="majorBidi" w:hAnsiTheme="majorBidi" w:cstheme="majorBidi"/>
        </w:rPr>
      </w:pPr>
    </w:p>
    <w:p w14:paraId="1589BD5E" w14:textId="1C16737E" w:rsidR="00BF6FEE" w:rsidRDefault="00BF6FEE" w:rsidP="00712147">
      <w:pPr>
        <w:jc w:val="both"/>
        <w:rPr>
          <w:rFonts w:asciiTheme="majorBidi" w:hAnsiTheme="majorBidi" w:cstheme="majorBidi"/>
        </w:rPr>
      </w:pPr>
      <w:proofErr w:type="gramStart"/>
      <w:r w:rsidRPr="00BF6FEE">
        <w:rPr>
          <w:rFonts w:asciiTheme="majorBidi" w:hAnsiTheme="majorBidi" w:cstheme="majorBidi"/>
        </w:rPr>
        <w:t>Table 2.</w:t>
      </w:r>
      <w:proofErr w:type="gramEnd"/>
      <w:r w:rsidRPr="00BF6FEE">
        <w:rPr>
          <w:rFonts w:asciiTheme="majorBidi" w:hAnsiTheme="majorBidi" w:cstheme="majorBidi"/>
        </w:rPr>
        <w:t xml:space="preserve"> Biotechnological advances on probiotics</w:t>
      </w:r>
    </w:p>
    <w:p w14:paraId="1714B4CF" w14:textId="74D4BD27" w:rsidR="0007338B" w:rsidRPr="0007338B" w:rsidRDefault="0007338B" w:rsidP="0007338B">
      <w:pPr>
        <w:jc w:val="both"/>
        <w:rPr>
          <w:rFonts w:asciiTheme="majorBidi" w:hAnsiTheme="majorBidi" w:cstheme="majorBidi"/>
        </w:rPr>
      </w:pPr>
      <w:r w:rsidRPr="0007338B">
        <w:rPr>
          <w:rFonts w:asciiTheme="majorBidi" w:hAnsiTheme="majorBidi" w:cstheme="majorBidi"/>
          <w:noProof/>
          <w:lang w:bidi="fa-IR"/>
        </w:rPr>
        <w:drawing>
          <wp:inline distT="0" distB="0" distL="0" distR="0" wp14:anchorId="46E33FD5" wp14:editId="003B0FAB">
            <wp:extent cx="5943600" cy="35439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543935"/>
                    </a:xfrm>
                    <a:prstGeom prst="rect">
                      <a:avLst/>
                    </a:prstGeom>
                    <a:noFill/>
                    <a:ln>
                      <a:noFill/>
                    </a:ln>
                  </pic:spPr>
                </pic:pic>
              </a:graphicData>
            </a:graphic>
          </wp:inline>
        </w:drawing>
      </w:r>
    </w:p>
    <w:p w14:paraId="522C2D7B" w14:textId="29C26B75" w:rsidR="00BF6FEE" w:rsidRPr="00BF6FEE" w:rsidRDefault="00BF6FEE" w:rsidP="00BF6FEE">
      <w:pPr>
        <w:jc w:val="both"/>
        <w:rPr>
          <w:rFonts w:asciiTheme="majorBidi" w:hAnsiTheme="majorBidi" w:cstheme="majorBidi"/>
        </w:rPr>
      </w:pPr>
    </w:p>
    <w:p w14:paraId="24596B50" w14:textId="09703C44" w:rsidR="00BF6FEE" w:rsidRPr="00856ECB" w:rsidRDefault="00BF6FEE" w:rsidP="00712147">
      <w:pPr>
        <w:jc w:val="both"/>
        <w:rPr>
          <w:rFonts w:asciiTheme="majorBidi" w:hAnsiTheme="majorBidi" w:cstheme="majorBidi"/>
        </w:rPr>
      </w:pPr>
    </w:p>
    <w:sectPr w:rsidR="00BF6FEE" w:rsidRPr="00856ECB">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92F880" w14:textId="77777777" w:rsidR="00310516" w:rsidRDefault="00310516" w:rsidP="00E63CAC">
      <w:r>
        <w:separator/>
      </w:r>
    </w:p>
  </w:endnote>
  <w:endnote w:type="continuationSeparator" w:id="0">
    <w:p w14:paraId="189E9508" w14:textId="77777777" w:rsidR="00310516" w:rsidRDefault="00310516" w:rsidP="00E63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haris SIL">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055815894"/>
      <w:docPartObj>
        <w:docPartGallery w:val="Page Numbers (Bottom of Page)"/>
        <w:docPartUnique/>
      </w:docPartObj>
    </w:sdtPr>
    <w:sdtEndPr>
      <w:rPr>
        <w:rStyle w:val="PageNumber"/>
      </w:rPr>
    </w:sdtEndPr>
    <w:sdtContent>
      <w:p w14:paraId="3478ADE5" w14:textId="55C13E78" w:rsidR="007909EC" w:rsidRDefault="007909EC" w:rsidP="003043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6ADBA3" w14:textId="77777777" w:rsidR="007909EC" w:rsidRDefault="007909EC" w:rsidP="00E63CA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8929710"/>
      <w:docPartObj>
        <w:docPartGallery w:val="Page Numbers (Bottom of Page)"/>
        <w:docPartUnique/>
      </w:docPartObj>
    </w:sdtPr>
    <w:sdtEndPr>
      <w:rPr>
        <w:rStyle w:val="PageNumber"/>
      </w:rPr>
    </w:sdtEndPr>
    <w:sdtContent>
      <w:p w14:paraId="14E7BD3F" w14:textId="5C7DBF8F" w:rsidR="007909EC" w:rsidRDefault="007909EC" w:rsidP="003043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127D5">
          <w:rPr>
            <w:rStyle w:val="PageNumber"/>
            <w:noProof/>
          </w:rPr>
          <w:t>24</w:t>
        </w:r>
        <w:r>
          <w:rPr>
            <w:rStyle w:val="PageNumber"/>
          </w:rPr>
          <w:fldChar w:fldCharType="end"/>
        </w:r>
      </w:p>
    </w:sdtContent>
  </w:sdt>
  <w:p w14:paraId="67F3F415" w14:textId="77777777" w:rsidR="007909EC" w:rsidRDefault="007909EC" w:rsidP="00E63CA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9D9106" w14:textId="77777777" w:rsidR="00310516" w:rsidRDefault="00310516" w:rsidP="00E63CAC">
      <w:r>
        <w:separator/>
      </w:r>
    </w:p>
  </w:footnote>
  <w:footnote w:type="continuationSeparator" w:id="0">
    <w:p w14:paraId="10DD86AF" w14:textId="77777777" w:rsidR="00310516" w:rsidRDefault="00310516" w:rsidP="00E63CAC">
      <w:r>
        <w:continuationSeparator/>
      </w:r>
    </w:p>
  </w:footnote>
  <w:footnote w:id="1">
    <w:p w14:paraId="40758696" w14:textId="6B449323" w:rsidR="007909EC" w:rsidRDefault="007909EC">
      <w:pPr>
        <w:pStyle w:val="FootnoteText"/>
      </w:pPr>
      <w:r>
        <w:rPr>
          <w:rStyle w:val="FootnoteReference"/>
        </w:rPr>
        <w:footnoteRef/>
      </w:r>
      <w:r>
        <w:t xml:space="preserve"> </w:t>
      </w:r>
      <w:r w:rsidRPr="00945027">
        <w:t>N-Methyl-D-Aspartate</w:t>
      </w:r>
    </w:p>
  </w:footnote>
  <w:footnote w:id="2">
    <w:p w14:paraId="086BC467" w14:textId="65ABE725" w:rsidR="007909EC" w:rsidRDefault="007909EC">
      <w:pPr>
        <w:pStyle w:val="FootnoteText"/>
      </w:pPr>
      <w:r>
        <w:rPr>
          <w:rStyle w:val="FootnoteReference"/>
        </w:rPr>
        <w:footnoteRef/>
      </w:r>
      <w:r>
        <w:t xml:space="preserve"> </w:t>
      </w:r>
      <w:r w:rsidRPr="00945027">
        <w:t>Levodopa or L-DOPA is dopaminergic medication for the treatment of Parkinson`s disease</w:t>
      </w:r>
    </w:p>
  </w:footnote>
  <w:footnote w:id="3">
    <w:p w14:paraId="35A989E0" w14:textId="5A1EBD53" w:rsidR="007909EC" w:rsidRDefault="007909EC">
      <w:pPr>
        <w:pStyle w:val="FootnoteText"/>
      </w:pPr>
      <w:r>
        <w:rPr>
          <w:rStyle w:val="FootnoteReference"/>
        </w:rPr>
        <w:footnoteRef/>
      </w:r>
      <w:r>
        <w:t xml:space="preserve"> </w:t>
      </w:r>
      <w:r w:rsidRPr="00E84842">
        <w:t>a protein that stabilizes microtubules in neurons</w:t>
      </w:r>
    </w:p>
  </w:footnote>
  <w:footnote w:id="4">
    <w:p w14:paraId="31A2C90C" w14:textId="32068B31" w:rsidR="007909EC" w:rsidRDefault="007909EC">
      <w:pPr>
        <w:pStyle w:val="FootnoteText"/>
      </w:pPr>
      <w:r>
        <w:rPr>
          <w:rStyle w:val="FootnoteReference"/>
        </w:rPr>
        <w:footnoteRef/>
      </w:r>
      <w:r>
        <w:t xml:space="preserve"> </w:t>
      </w:r>
      <w:r w:rsidRPr="00CF3CDB">
        <w:t>1-methyl-4-phenyl-1,2,3,6-tetrahydropyridine</w:t>
      </w:r>
    </w:p>
  </w:footnote>
  <w:footnote w:id="5">
    <w:p w14:paraId="28651593" w14:textId="5927A00E" w:rsidR="007909EC" w:rsidRDefault="007909EC">
      <w:pPr>
        <w:pStyle w:val="FootnoteText"/>
      </w:pPr>
      <w:r>
        <w:rPr>
          <w:rStyle w:val="FootnoteReference"/>
        </w:rPr>
        <w:footnoteRef/>
      </w:r>
      <w:r>
        <w:t xml:space="preserve"> </w:t>
      </w:r>
      <w:r w:rsidRPr="004D7383">
        <w:t>Quantitative Insights into Microbial Ecology</w:t>
      </w:r>
    </w:p>
  </w:footnote>
  <w:footnote w:id="6">
    <w:p w14:paraId="439DFD12" w14:textId="514B40FC" w:rsidR="007909EC" w:rsidRDefault="007909EC">
      <w:pPr>
        <w:pStyle w:val="FootnoteText"/>
      </w:pPr>
      <w:r>
        <w:rPr>
          <w:rStyle w:val="FootnoteReference"/>
        </w:rPr>
        <w:footnoteRef/>
      </w:r>
      <w:r>
        <w:t xml:space="preserve"> NCBI`s </w:t>
      </w:r>
      <w:proofErr w:type="spellStart"/>
      <w:r>
        <w:t>nt</w:t>
      </w:r>
      <w:proofErr w:type="spellEnd"/>
      <w:r>
        <w:t xml:space="preserve"> (nucleotide)</w:t>
      </w:r>
    </w:p>
  </w:footnote>
  <w:footnote w:id="7">
    <w:p w14:paraId="039FB94F" w14:textId="5012D4CA" w:rsidR="007909EC" w:rsidRDefault="007909EC">
      <w:pPr>
        <w:pStyle w:val="FootnoteText"/>
      </w:pPr>
      <w:r>
        <w:rPr>
          <w:rStyle w:val="FootnoteReference"/>
        </w:rPr>
        <w:footnoteRef/>
      </w:r>
      <w:r>
        <w:t xml:space="preserve"> </w:t>
      </w:r>
      <w:proofErr w:type="spellStart"/>
      <w:r w:rsidRPr="007D77F9">
        <w:t>Greengenes</w:t>
      </w:r>
      <w:proofErr w:type="spellEnd"/>
      <w:r w:rsidRPr="007D77F9">
        <w:t xml:space="preserve"> offers annotated, chimera-</w:t>
      </w:r>
      <w:proofErr w:type="spellStart"/>
      <w:r w:rsidRPr="007D77F9">
        <w:t>cheked</w:t>
      </w:r>
      <w:proofErr w:type="spellEnd"/>
      <w:r w:rsidRPr="007D77F9">
        <w:t xml:space="preserve">, full length 16S </w:t>
      </w:r>
      <w:proofErr w:type="spellStart"/>
      <w:r w:rsidRPr="007D77F9">
        <w:t>rDNA</w:t>
      </w:r>
      <w:proofErr w:type="spellEnd"/>
      <w:r w:rsidRPr="007D77F9">
        <w:t xml:space="preserve"> gene sequences in standard alignment formats.</w:t>
      </w:r>
    </w:p>
  </w:footnote>
  <w:footnote w:id="8">
    <w:p w14:paraId="14AA843D" w14:textId="48750F5A" w:rsidR="007909EC" w:rsidRDefault="007909EC">
      <w:pPr>
        <w:pStyle w:val="FootnoteText"/>
      </w:pPr>
      <w:r>
        <w:rPr>
          <w:rStyle w:val="FootnoteReference"/>
        </w:rPr>
        <w:footnoteRef/>
      </w:r>
      <w:r>
        <w:t xml:space="preserve"> </w:t>
      </w:r>
      <w:proofErr w:type="spellStart"/>
      <w:r w:rsidRPr="00452DAA">
        <w:t>Eudragit</w:t>
      </w:r>
      <w:proofErr w:type="spellEnd"/>
      <w:r w:rsidRPr="00452DAA">
        <w:t xml:space="preserve"> is a copolymer of poly (</w:t>
      </w:r>
      <w:proofErr w:type="spellStart"/>
      <w:r w:rsidRPr="00452DAA">
        <w:t>ethylacrylate</w:t>
      </w:r>
      <w:proofErr w:type="spellEnd"/>
      <w:r w:rsidRPr="00452DAA">
        <w:t xml:space="preserve">, methyl-methacrylate, and </w:t>
      </w:r>
      <w:proofErr w:type="spellStart"/>
      <w:r w:rsidRPr="00452DAA">
        <w:t>chloro</w:t>
      </w:r>
      <w:proofErr w:type="spellEnd"/>
      <w:r w:rsidRPr="00452DAA">
        <w:t xml:space="preserve"> </w:t>
      </w:r>
      <w:proofErr w:type="spellStart"/>
      <w:r w:rsidRPr="00452DAA">
        <w:t>trimethyl-ammonioethyl</w:t>
      </w:r>
      <w:proofErr w:type="spellEnd"/>
      <w:r w:rsidRPr="00452DAA">
        <w:t xml:space="preserve"> methacrylate), which is insoluble at physiologic pH</w:t>
      </w:r>
    </w:p>
  </w:footnote>
  <w:footnote w:id="9">
    <w:p w14:paraId="2C9FC89B" w14:textId="14581F35" w:rsidR="007909EC" w:rsidRDefault="007909EC">
      <w:pPr>
        <w:pStyle w:val="FootnoteText"/>
      </w:pPr>
      <w:r>
        <w:rPr>
          <w:rStyle w:val="FootnoteReference"/>
        </w:rPr>
        <w:footnoteRef/>
      </w:r>
      <w:r>
        <w:t xml:space="preserve"> </w:t>
      </w:r>
      <w:proofErr w:type="spellStart"/>
      <w:r w:rsidRPr="00562C40">
        <w:t>AvCystatin</w:t>
      </w:r>
      <w:proofErr w:type="spellEnd"/>
      <w:r w:rsidRPr="00562C40">
        <w:t xml:space="preserve">, a recombinant cysteine protease inhibitor derived from the filarial nematode </w:t>
      </w:r>
      <w:proofErr w:type="spellStart"/>
      <w:r w:rsidRPr="00562C40">
        <w:t>Acanthocheilonema</w:t>
      </w:r>
      <w:proofErr w:type="spellEnd"/>
      <w:r w:rsidRPr="00562C40">
        <w:t xml:space="preserve"> </w:t>
      </w:r>
      <w:proofErr w:type="spellStart"/>
      <w:r w:rsidRPr="00562C40">
        <w:t>viteae</w:t>
      </w:r>
      <w:proofErr w:type="spellEnd"/>
      <w:r w:rsidRPr="00562C40">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260E6"/>
    <w:multiLevelType w:val="multilevel"/>
    <w:tmpl w:val="5D1207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66C010C"/>
    <w:multiLevelType w:val="hybridMultilevel"/>
    <w:tmpl w:val="A84C016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453D37"/>
    <w:multiLevelType w:val="hybridMultilevel"/>
    <w:tmpl w:val="3A3A545E"/>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BD3518F"/>
    <w:multiLevelType w:val="hybridMultilevel"/>
    <w:tmpl w:val="692E88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0F41C96"/>
    <w:multiLevelType w:val="hybridMultilevel"/>
    <w:tmpl w:val="067045A6"/>
    <w:lvl w:ilvl="0" w:tplc="A74E0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34295A"/>
    <w:multiLevelType w:val="hybridMultilevel"/>
    <w:tmpl w:val="5DC4B0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1830649"/>
    <w:multiLevelType w:val="multilevel"/>
    <w:tmpl w:val="7E20EF64"/>
    <w:lvl w:ilvl="0">
      <w:start w:val="5"/>
      <w:numFmt w:val="decimal"/>
      <w:lvlText w:val="%1"/>
      <w:lvlJc w:val="left"/>
      <w:pPr>
        <w:ind w:left="480" w:hanging="480"/>
      </w:pPr>
      <w:rPr>
        <w:rFonts w:asciiTheme="majorHAnsi" w:eastAsiaTheme="majorEastAsia" w:hAnsiTheme="majorHAnsi" w:hint="default"/>
        <w:color w:val="1F3763" w:themeColor="accent1" w:themeShade="7F"/>
        <w:sz w:val="24"/>
      </w:rPr>
    </w:lvl>
    <w:lvl w:ilvl="1">
      <w:start w:val="1"/>
      <w:numFmt w:val="decimal"/>
      <w:lvlText w:val="%1.%2"/>
      <w:lvlJc w:val="left"/>
      <w:pPr>
        <w:ind w:left="480" w:hanging="480"/>
      </w:pPr>
      <w:rPr>
        <w:rFonts w:asciiTheme="majorHAnsi" w:eastAsiaTheme="majorEastAsia" w:hAnsiTheme="majorHAnsi" w:hint="default"/>
        <w:color w:val="1F3763" w:themeColor="accent1" w:themeShade="7F"/>
        <w:sz w:val="24"/>
      </w:rPr>
    </w:lvl>
    <w:lvl w:ilvl="2">
      <w:start w:val="2"/>
      <w:numFmt w:val="decimal"/>
      <w:lvlText w:val="%1.%2.%3"/>
      <w:lvlJc w:val="left"/>
      <w:pPr>
        <w:ind w:left="720" w:hanging="720"/>
      </w:pPr>
      <w:rPr>
        <w:rFonts w:asciiTheme="majorHAnsi" w:eastAsiaTheme="majorEastAsia" w:hAnsiTheme="majorHAnsi" w:hint="default"/>
        <w:color w:val="1F3763" w:themeColor="accent1" w:themeShade="7F"/>
        <w:sz w:val="24"/>
      </w:rPr>
    </w:lvl>
    <w:lvl w:ilvl="3">
      <w:start w:val="1"/>
      <w:numFmt w:val="decimal"/>
      <w:lvlText w:val="%1.%2.%3.%4"/>
      <w:lvlJc w:val="left"/>
      <w:pPr>
        <w:ind w:left="720" w:hanging="720"/>
      </w:pPr>
      <w:rPr>
        <w:rFonts w:asciiTheme="majorHAnsi" w:eastAsiaTheme="majorEastAsia" w:hAnsiTheme="majorHAnsi" w:hint="default"/>
        <w:color w:val="1F3763" w:themeColor="accent1" w:themeShade="7F"/>
        <w:sz w:val="24"/>
      </w:rPr>
    </w:lvl>
    <w:lvl w:ilvl="4">
      <w:start w:val="1"/>
      <w:numFmt w:val="decimal"/>
      <w:lvlText w:val="%1.%2.%3.%4.%5"/>
      <w:lvlJc w:val="left"/>
      <w:pPr>
        <w:ind w:left="1080" w:hanging="1080"/>
      </w:pPr>
      <w:rPr>
        <w:rFonts w:asciiTheme="majorHAnsi" w:eastAsiaTheme="majorEastAsia" w:hAnsiTheme="majorHAnsi" w:hint="default"/>
        <w:color w:val="1F3763" w:themeColor="accent1" w:themeShade="7F"/>
        <w:sz w:val="24"/>
      </w:rPr>
    </w:lvl>
    <w:lvl w:ilvl="5">
      <w:start w:val="1"/>
      <w:numFmt w:val="decimal"/>
      <w:lvlText w:val="%1.%2.%3.%4.%5.%6"/>
      <w:lvlJc w:val="left"/>
      <w:pPr>
        <w:ind w:left="1080" w:hanging="1080"/>
      </w:pPr>
      <w:rPr>
        <w:rFonts w:asciiTheme="majorHAnsi" w:eastAsiaTheme="majorEastAsia" w:hAnsiTheme="majorHAnsi" w:hint="default"/>
        <w:color w:val="1F3763" w:themeColor="accent1" w:themeShade="7F"/>
        <w:sz w:val="24"/>
      </w:rPr>
    </w:lvl>
    <w:lvl w:ilvl="6">
      <w:start w:val="1"/>
      <w:numFmt w:val="decimal"/>
      <w:lvlText w:val="%1.%2.%3.%4.%5.%6.%7"/>
      <w:lvlJc w:val="left"/>
      <w:pPr>
        <w:ind w:left="1440" w:hanging="1440"/>
      </w:pPr>
      <w:rPr>
        <w:rFonts w:asciiTheme="majorHAnsi" w:eastAsiaTheme="majorEastAsia" w:hAnsiTheme="majorHAnsi" w:hint="default"/>
        <w:color w:val="1F3763" w:themeColor="accent1" w:themeShade="7F"/>
        <w:sz w:val="24"/>
      </w:rPr>
    </w:lvl>
    <w:lvl w:ilvl="7">
      <w:start w:val="1"/>
      <w:numFmt w:val="decimal"/>
      <w:lvlText w:val="%1.%2.%3.%4.%5.%6.%7.%8"/>
      <w:lvlJc w:val="left"/>
      <w:pPr>
        <w:ind w:left="1440" w:hanging="1440"/>
      </w:pPr>
      <w:rPr>
        <w:rFonts w:asciiTheme="majorHAnsi" w:eastAsiaTheme="majorEastAsia" w:hAnsiTheme="majorHAnsi" w:hint="default"/>
        <w:color w:val="1F3763" w:themeColor="accent1" w:themeShade="7F"/>
        <w:sz w:val="24"/>
      </w:rPr>
    </w:lvl>
    <w:lvl w:ilvl="8">
      <w:start w:val="1"/>
      <w:numFmt w:val="decimal"/>
      <w:lvlText w:val="%1.%2.%3.%4.%5.%6.%7.%8.%9"/>
      <w:lvlJc w:val="left"/>
      <w:pPr>
        <w:ind w:left="1440" w:hanging="1440"/>
      </w:pPr>
      <w:rPr>
        <w:rFonts w:asciiTheme="majorHAnsi" w:eastAsiaTheme="majorEastAsia" w:hAnsiTheme="majorHAnsi" w:hint="default"/>
        <w:color w:val="1F3763" w:themeColor="accent1" w:themeShade="7F"/>
        <w:sz w:val="24"/>
      </w:rPr>
    </w:lvl>
  </w:abstractNum>
  <w:abstractNum w:abstractNumId="7">
    <w:nsid w:val="121142C3"/>
    <w:multiLevelType w:val="multilevel"/>
    <w:tmpl w:val="F6943ADE"/>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nsid w:val="13F13334"/>
    <w:multiLevelType w:val="multilevel"/>
    <w:tmpl w:val="2D1CD05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55D536A"/>
    <w:multiLevelType w:val="hybridMultilevel"/>
    <w:tmpl w:val="BA62EEC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4866EE"/>
    <w:multiLevelType w:val="multilevel"/>
    <w:tmpl w:val="21D0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F720B09"/>
    <w:multiLevelType w:val="hybridMultilevel"/>
    <w:tmpl w:val="88720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9D7097"/>
    <w:multiLevelType w:val="multilevel"/>
    <w:tmpl w:val="6324EC1C"/>
    <w:lvl w:ilvl="0">
      <w:start w:val="6"/>
      <w:numFmt w:val="decimal"/>
      <w:lvlText w:val="%1"/>
      <w:lvlJc w:val="left"/>
      <w:pPr>
        <w:ind w:left="360" w:hanging="360"/>
      </w:pPr>
      <w:rPr>
        <w:rFonts w:asciiTheme="majorHAnsi" w:eastAsiaTheme="majorEastAsia" w:hAnsiTheme="majorHAnsi" w:hint="default"/>
        <w:color w:val="1F3763" w:themeColor="accent1" w:themeShade="7F"/>
        <w:sz w:val="24"/>
      </w:rPr>
    </w:lvl>
    <w:lvl w:ilvl="1">
      <w:start w:val="2"/>
      <w:numFmt w:val="decimal"/>
      <w:lvlText w:val="%1.%2"/>
      <w:lvlJc w:val="left"/>
      <w:pPr>
        <w:ind w:left="360" w:hanging="360"/>
      </w:pPr>
      <w:rPr>
        <w:rFonts w:asciiTheme="majorHAnsi" w:eastAsiaTheme="majorEastAsia" w:hAnsiTheme="majorHAnsi" w:hint="default"/>
        <w:color w:val="1F3763" w:themeColor="accent1" w:themeShade="7F"/>
        <w:sz w:val="24"/>
      </w:rPr>
    </w:lvl>
    <w:lvl w:ilvl="2">
      <w:start w:val="1"/>
      <w:numFmt w:val="decimal"/>
      <w:lvlText w:val="%1.%2.%3"/>
      <w:lvlJc w:val="left"/>
      <w:pPr>
        <w:ind w:left="720" w:hanging="720"/>
      </w:pPr>
      <w:rPr>
        <w:rFonts w:asciiTheme="majorHAnsi" w:eastAsiaTheme="majorEastAsia" w:hAnsiTheme="majorHAnsi" w:hint="default"/>
        <w:color w:val="1F3763" w:themeColor="accent1" w:themeShade="7F"/>
        <w:sz w:val="24"/>
      </w:rPr>
    </w:lvl>
    <w:lvl w:ilvl="3">
      <w:start w:val="1"/>
      <w:numFmt w:val="decimal"/>
      <w:lvlText w:val="%1.%2.%3.%4"/>
      <w:lvlJc w:val="left"/>
      <w:pPr>
        <w:ind w:left="720" w:hanging="720"/>
      </w:pPr>
      <w:rPr>
        <w:rFonts w:asciiTheme="majorHAnsi" w:eastAsiaTheme="majorEastAsia" w:hAnsiTheme="majorHAnsi" w:hint="default"/>
        <w:color w:val="1F3763" w:themeColor="accent1" w:themeShade="7F"/>
        <w:sz w:val="24"/>
      </w:rPr>
    </w:lvl>
    <w:lvl w:ilvl="4">
      <w:start w:val="1"/>
      <w:numFmt w:val="decimal"/>
      <w:lvlText w:val="%1.%2.%3.%4.%5"/>
      <w:lvlJc w:val="left"/>
      <w:pPr>
        <w:ind w:left="1080" w:hanging="1080"/>
      </w:pPr>
      <w:rPr>
        <w:rFonts w:asciiTheme="majorHAnsi" w:eastAsiaTheme="majorEastAsia" w:hAnsiTheme="majorHAnsi" w:hint="default"/>
        <w:color w:val="1F3763" w:themeColor="accent1" w:themeShade="7F"/>
        <w:sz w:val="24"/>
      </w:rPr>
    </w:lvl>
    <w:lvl w:ilvl="5">
      <w:start w:val="1"/>
      <w:numFmt w:val="decimal"/>
      <w:lvlText w:val="%1.%2.%3.%4.%5.%6"/>
      <w:lvlJc w:val="left"/>
      <w:pPr>
        <w:ind w:left="1080" w:hanging="1080"/>
      </w:pPr>
      <w:rPr>
        <w:rFonts w:asciiTheme="majorHAnsi" w:eastAsiaTheme="majorEastAsia" w:hAnsiTheme="majorHAnsi" w:hint="default"/>
        <w:color w:val="1F3763" w:themeColor="accent1" w:themeShade="7F"/>
        <w:sz w:val="24"/>
      </w:rPr>
    </w:lvl>
    <w:lvl w:ilvl="6">
      <w:start w:val="1"/>
      <w:numFmt w:val="decimal"/>
      <w:lvlText w:val="%1.%2.%3.%4.%5.%6.%7"/>
      <w:lvlJc w:val="left"/>
      <w:pPr>
        <w:ind w:left="1440" w:hanging="1440"/>
      </w:pPr>
      <w:rPr>
        <w:rFonts w:asciiTheme="majorHAnsi" w:eastAsiaTheme="majorEastAsia" w:hAnsiTheme="majorHAnsi" w:hint="default"/>
        <w:color w:val="1F3763" w:themeColor="accent1" w:themeShade="7F"/>
        <w:sz w:val="24"/>
      </w:rPr>
    </w:lvl>
    <w:lvl w:ilvl="7">
      <w:start w:val="1"/>
      <w:numFmt w:val="decimal"/>
      <w:lvlText w:val="%1.%2.%3.%4.%5.%6.%7.%8"/>
      <w:lvlJc w:val="left"/>
      <w:pPr>
        <w:ind w:left="1440" w:hanging="1440"/>
      </w:pPr>
      <w:rPr>
        <w:rFonts w:asciiTheme="majorHAnsi" w:eastAsiaTheme="majorEastAsia" w:hAnsiTheme="majorHAnsi" w:hint="default"/>
        <w:color w:val="1F3763" w:themeColor="accent1" w:themeShade="7F"/>
        <w:sz w:val="24"/>
      </w:rPr>
    </w:lvl>
    <w:lvl w:ilvl="8">
      <w:start w:val="1"/>
      <w:numFmt w:val="decimal"/>
      <w:lvlText w:val="%1.%2.%3.%4.%5.%6.%7.%8.%9"/>
      <w:lvlJc w:val="left"/>
      <w:pPr>
        <w:ind w:left="1440" w:hanging="1440"/>
      </w:pPr>
      <w:rPr>
        <w:rFonts w:asciiTheme="majorHAnsi" w:eastAsiaTheme="majorEastAsia" w:hAnsiTheme="majorHAnsi" w:hint="default"/>
        <w:color w:val="1F3763" w:themeColor="accent1" w:themeShade="7F"/>
        <w:sz w:val="24"/>
      </w:rPr>
    </w:lvl>
  </w:abstractNum>
  <w:abstractNum w:abstractNumId="13">
    <w:nsid w:val="1FDC6AB3"/>
    <w:multiLevelType w:val="hybridMultilevel"/>
    <w:tmpl w:val="47F62640"/>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9E45976"/>
    <w:multiLevelType w:val="hybridMultilevel"/>
    <w:tmpl w:val="B74A02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F0471C2"/>
    <w:multiLevelType w:val="hybridMultilevel"/>
    <w:tmpl w:val="FA6E0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A8017C"/>
    <w:multiLevelType w:val="multilevel"/>
    <w:tmpl w:val="3C40C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A633BD"/>
    <w:multiLevelType w:val="hybridMultilevel"/>
    <w:tmpl w:val="E94CCFE0"/>
    <w:lvl w:ilvl="0" w:tplc="CC464E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8164E9"/>
    <w:multiLevelType w:val="hybridMultilevel"/>
    <w:tmpl w:val="EC5E9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F95262"/>
    <w:multiLevelType w:val="hybridMultilevel"/>
    <w:tmpl w:val="588A19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3C682C4D"/>
    <w:multiLevelType w:val="multilevel"/>
    <w:tmpl w:val="8382892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3CE72BD5"/>
    <w:multiLevelType w:val="hybridMultilevel"/>
    <w:tmpl w:val="8C263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A41CF5"/>
    <w:multiLevelType w:val="multilevel"/>
    <w:tmpl w:val="15548B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nsid w:val="48645657"/>
    <w:multiLevelType w:val="hybridMultilevel"/>
    <w:tmpl w:val="FD9E195A"/>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8EB2B0D"/>
    <w:multiLevelType w:val="multilevel"/>
    <w:tmpl w:val="7648387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4CE66714"/>
    <w:multiLevelType w:val="multilevel"/>
    <w:tmpl w:val="8842DDF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44B0C81"/>
    <w:multiLevelType w:val="hybridMultilevel"/>
    <w:tmpl w:val="588A196E"/>
    <w:lvl w:ilvl="0" w:tplc="2632A0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8F2B81"/>
    <w:multiLevelType w:val="hybridMultilevel"/>
    <w:tmpl w:val="4D3E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D216C5"/>
    <w:multiLevelType w:val="multilevel"/>
    <w:tmpl w:val="7FFAFB2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nsid w:val="56814DF7"/>
    <w:multiLevelType w:val="multilevel"/>
    <w:tmpl w:val="A038F6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9E60B96"/>
    <w:multiLevelType w:val="hybridMultilevel"/>
    <w:tmpl w:val="8F1CA3C8"/>
    <w:lvl w:ilvl="0" w:tplc="64268C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A14F85"/>
    <w:multiLevelType w:val="multilevel"/>
    <w:tmpl w:val="A6105820"/>
    <w:lvl w:ilvl="0">
      <w:start w:val="7"/>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631A15E3"/>
    <w:multiLevelType w:val="multilevel"/>
    <w:tmpl w:val="9CF6F84E"/>
    <w:lvl w:ilvl="0">
      <w:start w:val="5"/>
      <w:numFmt w:val="decimal"/>
      <w:lvlText w:val="%1"/>
      <w:lvlJc w:val="left"/>
      <w:pPr>
        <w:ind w:left="444" w:hanging="444"/>
      </w:pPr>
      <w:rPr>
        <w:rFonts w:hint="default"/>
        <w:b/>
      </w:rPr>
    </w:lvl>
    <w:lvl w:ilvl="1">
      <w:start w:val="1"/>
      <w:numFmt w:val="decimal"/>
      <w:lvlText w:val="%1.%2"/>
      <w:lvlJc w:val="left"/>
      <w:pPr>
        <w:ind w:left="804" w:hanging="444"/>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3">
    <w:nsid w:val="739860C8"/>
    <w:multiLevelType w:val="multilevel"/>
    <w:tmpl w:val="559C9F42"/>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43D0B36"/>
    <w:multiLevelType w:val="hybridMultilevel"/>
    <w:tmpl w:val="7300468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B87844"/>
    <w:multiLevelType w:val="multilevel"/>
    <w:tmpl w:val="40F6677C"/>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nsid w:val="78EE0E7F"/>
    <w:multiLevelType w:val="hybridMultilevel"/>
    <w:tmpl w:val="A0B49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9"/>
  </w:num>
  <w:num w:numId="3">
    <w:abstractNumId w:val="18"/>
  </w:num>
  <w:num w:numId="4">
    <w:abstractNumId w:val="4"/>
  </w:num>
  <w:num w:numId="5">
    <w:abstractNumId w:val="30"/>
  </w:num>
  <w:num w:numId="6">
    <w:abstractNumId w:val="17"/>
  </w:num>
  <w:num w:numId="7">
    <w:abstractNumId w:val="36"/>
  </w:num>
  <w:num w:numId="8">
    <w:abstractNumId w:val="16"/>
  </w:num>
  <w:num w:numId="9">
    <w:abstractNumId w:val="10"/>
  </w:num>
  <w:num w:numId="10">
    <w:abstractNumId w:val="23"/>
  </w:num>
  <w:num w:numId="11">
    <w:abstractNumId w:val="1"/>
  </w:num>
  <w:num w:numId="12">
    <w:abstractNumId w:val="24"/>
  </w:num>
  <w:num w:numId="13">
    <w:abstractNumId w:val="8"/>
  </w:num>
  <w:num w:numId="14">
    <w:abstractNumId w:val="33"/>
  </w:num>
  <w:num w:numId="15">
    <w:abstractNumId w:val="13"/>
  </w:num>
  <w:num w:numId="16">
    <w:abstractNumId w:val="3"/>
  </w:num>
  <w:num w:numId="17">
    <w:abstractNumId w:val="2"/>
  </w:num>
  <w:num w:numId="18">
    <w:abstractNumId w:val="27"/>
  </w:num>
  <w:num w:numId="19">
    <w:abstractNumId w:val="28"/>
  </w:num>
  <w:num w:numId="20">
    <w:abstractNumId w:val="11"/>
  </w:num>
  <w:num w:numId="21">
    <w:abstractNumId w:val="21"/>
  </w:num>
  <w:num w:numId="22">
    <w:abstractNumId w:val="0"/>
  </w:num>
  <w:num w:numId="23">
    <w:abstractNumId w:val="32"/>
  </w:num>
  <w:num w:numId="24">
    <w:abstractNumId w:val="6"/>
  </w:num>
  <w:num w:numId="25">
    <w:abstractNumId w:val="14"/>
  </w:num>
  <w:num w:numId="26">
    <w:abstractNumId w:val="15"/>
  </w:num>
  <w:num w:numId="27">
    <w:abstractNumId w:val="22"/>
  </w:num>
  <w:num w:numId="28">
    <w:abstractNumId w:val="5"/>
  </w:num>
  <w:num w:numId="29">
    <w:abstractNumId w:val="20"/>
  </w:num>
  <w:num w:numId="30">
    <w:abstractNumId w:val="12"/>
  </w:num>
  <w:num w:numId="31">
    <w:abstractNumId w:val="31"/>
  </w:num>
  <w:num w:numId="32">
    <w:abstractNumId w:val="7"/>
  </w:num>
  <w:num w:numId="33">
    <w:abstractNumId w:val="29"/>
  </w:num>
  <w:num w:numId="34">
    <w:abstractNumId w:val="34"/>
  </w:num>
  <w:num w:numId="35">
    <w:abstractNumId w:val="9"/>
  </w:num>
  <w:num w:numId="36">
    <w:abstractNumId w:val="35"/>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d0sxfttvexts3exapdxr2xyzd5z5et0e99s&quot;&gt;My EndNote Library 2&lt;record-ids&gt;&lt;item&gt;126&lt;/item&gt;&lt;/record-ids&gt;&lt;/item&gt;&lt;/Libraries&gt;"/>
  </w:docVars>
  <w:rsids>
    <w:rsidRoot w:val="00D25829"/>
    <w:rsid w:val="00001DA3"/>
    <w:rsid w:val="00004767"/>
    <w:rsid w:val="000065B3"/>
    <w:rsid w:val="00012639"/>
    <w:rsid w:val="00025ED1"/>
    <w:rsid w:val="0003634B"/>
    <w:rsid w:val="000453F6"/>
    <w:rsid w:val="000464C1"/>
    <w:rsid w:val="00046B05"/>
    <w:rsid w:val="00065475"/>
    <w:rsid w:val="0007338B"/>
    <w:rsid w:val="00074FE0"/>
    <w:rsid w:val="00077A00"/>
    <w:rsid w:val="00082D8C"/>
    <w:rsid w:val="00083BE2"/>
    <w:rsid w:val="00090B07"/>
    <w:rsid w:val="00093BA8"/>
    <w:rsid w:val="0009576B"/>
    <w:rsid w:val="000A161C"/>
    <w:rsid w:val="000A1A9C"/>
    <w:rsid w:val="000A1B29"/>
    <w:rsid w:val="000A36B0"/>
    <w:rsid w:val="000A4F86"/>
    <w:rsid w:val="000A6169"/>
    <w:rsid w:val="000A7FE6"/>
    <w:rsid w:val="000B5173"/>
    <w:rsid w:val="000C1838"/>
    <w:rsid w:val="000C349A"/>
    <w:rsid w:val="000D0431"/>
    <w:rsid w:val="000D7F99"/>
    <w:rsid w:val="000E5AF8"/>
    <w:rsid w:val="000E670C"/>
    <w:rsid w:val="000F3FCF"/>
    <w:rsid w:val="001046B3"/>
    <w:rsid w:val="001140ED"/>
    <w:rsid w:val="00117A46"/>
    <w:rsid w:val="00137074"/>
    <w:rsid w:val="00145A2B"/>
    <w:rsid w:val="00152833"/>
    <w:rsid w:val="00156F1E"/>
    <w:rsid w:val="00166476"/>
    <w:rsid w:val="00171021"/>
    <w:rsid w:val="0017362F"/>
    <w:rsid w:val="0017496A"/>
    <w:rsid w:val="001945D0"/>
    <w:rsid w:val="00194A8E"/>
    <w:rsid w:val="001A1603"/>
    <w:rsid w:val="001A4483"/>
    <w:rsid w:val="001B7772"/>
    <w:rsid w:val="001C2A85"/>
    <w:rsid w:val="001C7BA7"/>
    <w:rsid w:val="001D3C14"/>
    <w:rsid w:val="001D549A"/>
    <w:rsid w:val="001E0F32"/>
    <w:rsid w:val="001E46AE"/>
    <w:rsid w:val="001E6E04"/>
    <w:rsid w:val="00202B0A"/>
    <w:rsid w:val="00203D03"/>
    <w:rsid w:val="002047BE"/>
    <w:rsid w:val="00206D17"/>
    <w:rsid w:val="00214AC0"/>
    <w:rsid w:val="002230E2"/>
    <w:rsid w:val="00223D83"/>
    <w:rsid w:val="00224FBD"/>
    <w:rsid w:val="00226085"/>
    <w:rsid w:val="00232BE7"/>
    <w:rsid w:val="00233A07"/>
    <w:rsid w:val="00235D22"/>
    <w:rsid w:val="00237561"/>
    <w:rsid w:val="00241C58"/>
    <w:rsid w:val="0024718A"/>
    <w:rsid w:val="002547BD"/>
    <w:rsid w:val="00261DEF"/>
    <w:rsid w:val="00262A6F"/>
    <w:rsid w:val="002663C4"/>
    <w:rsid w:val="00266F3C"/>
    <w:rsid w:val="002676FA"/>
    <w:rsid w:val="00287EAF"/>
    <w:rsid w:val="00292A33"/>
    <w:rsid w:val="00296D79"/>
    <w:rsid w:val="002A07DB"/>
    <w:rsid w:val="002A3647"/>
    <w:rsid w:val="002A4B22"/>
    <w:rsid w:val="002B409D"/>
    <w:rsid w:val="002B55C1"/>
    <w:rsid w:val="002B7E01"/>
    <w:rsid w:val="002C22AB"/>
    <w:rsid w:val="002D1C3F"/>
    <w:rsid w:val="002D4F86"/>
    <w:rsid w:val="002D6F38"/>
    <w:rsid w:val="002E18BB"/>
    <w:rsid w:val="002E1F31"/>
    <w:rsid w:val="002E3E1F"/>
    <w:rsid w:val="002F00D9"/>
    <w:rsid w:val="002F1D12"/>
    <w:rsid w:val="002F7548"/>
    <w:rsid w:val="00302222"/>
    <w:rsid w:val="00304335"/>
    <w:rsid w:val="00304DB0"/>
    <w:rsid w:val="00310516"/>
    <w:rsid w:val="00313A73"/>
    <w:rsid w:val="003239C5"/>
    <w:rsid w:val="00332CBF"/>
    <w:rsid w:val="003337AD"/>
    <w:rsid w:val="00345AAA"/>
    <w:rsid w:val="0035572F"/>
    <w:rsid w:val="003610E9"/>
    <w:rsid w:val="00363DCC"/>
    <w:rsid w:val="00374DF1"/>
    <w:rsid w:val="0037629D"/>
    <w:rsid w:val="00380DC3"/>
    <w:rsid w:val="003812A2"/>
    <w:rsid w:val="00387835"/>
    <w:rsid w:val="0039426B"/>
    <w:rsid w:val="003A10DA"/>
    <w:rsid w:val="003A167F"/>
    <w:rsid w:val="003A3256"/>
    <w:rsid w:val="003A695F"/>
    <w:rsid w:val="003B0420"/>
    <w:rsid w:val="003B15B7"/>
    <w:rsid w:val="003B2D4C"/>
    <w:rsid w:val="003C616E"/>
    <w:rsid w:val="003D1460"/>
    <w:rsid w:val="003D5805"/>
    <w:rsid w:val="003D61C7"/>
    <w:rsid w:val="003E3119"/>
    <w:rsid w:val="003E357D"/>
    <w:rsid w:val="00402172"/>
    <w:rsid w:val="00404FD3"/>
    <w:rsid w:val="00414708"/>
    <w:rsid w:val="00427D09"/>
    <w:rsid w:val="00430919"/>
    <w:rsid w:val="004322BF"/>
    <w:rsid w:val="00433E95"/>
    <w:rsid w:val="0043730A"/>
    <w:rsid w:val="00437426"/>
    <w:rsid w:val="00441A2E"/>
    <w:rsid w:val="0044274A"/>
    <w:rsid w:val="00451137"/>
    <w:rsid w:val="00452DAA"/>
    <w:rsid w:val="00453997"/>
    <w:rsid w:val="0045492B"/>
    <w:rsid w:val="00455D29"/>
    <w:rsid w:val="0046075E"/>
    <w:rsid w:val="00461DF5"/>
    <w:rsid w:val="004767CE"/>
    <w:rsid w:val="004819E0"/>
    <w:rsid w:val="004934C2"/>
    <w:rsid w:val="004A2B05"/>
    <w:rsid w:val="004B6475"/>
    <w:rsid w:val="004B6B5A"/>
    <w:rsid w:val="004D735D"/>
    <w:rsid w:val="004D7383"/>
    <w:rsid w:val="004E234B"/>
    <w:rsid w:val="004F3788"/>
    <w:rsid w:val="004F4078"/>
    <w:rsid w:val="004F51C4"/>
    <w:rsid w:val="004F6D9D"/>
    <w:rsid w:val="00505B90"/>
    <w:rsid w:val="00505FED"/>
    <w:rsid w:val="00506313"/>
    <w:rsid w:val="005123F3"/>
    <w:rsid w:val="005146B7"/>
    <w:rsid w:val="00524C0E"/>
    <w:rsid w:val="00525097"/>
    <w:rsid w:val="005251EF"/>
    <w:rsid w:val="00537DAA"/>
    <w:rsid w:val="005426D6"/>
    <w:rsid w:val="005476EA"/>
    <w:rsid w:val="0055156B"/>
    <w:rsid w:val="00551A7D"/>
    <w:rsid w:val="00552020"/>
    <w:rsid w:val="0055241A"/>
    <w:rsid w:val="00562C40"/>
    <w:rsid w:val="00567877"/>
    <w:rsid w:val="00574C8F"/>
    <w:rsid w:val="0057585F"/>
    <w:rsid w:val="005832B0"/>
    <w:rsid w:val="00583920"/>
    <w:rsid w:val="005A0814"/>
    <w:rsid w:val="005A30C7"/>
    <w:rsid w:val="005A7EF4"/>
    <w:rsid w:val="005B78D2"/>
    <w:rsid w:val="005C3442"/>
    <w:rsid w:val="005C3DC4"/>
    <w:rsid w:val="005D3B30"/>
    <w:rsid w:val="005E171E"/>
    <w:rsid w:val="005F342A"/>
    <w:rsid w:val="005F7512"/>
    <w:rsid w:val="00603C00"/>
    <w:rsid w:val="00604556"/>
    <w:rsid w:val="00605A9E"/>
    <w:rsid w:val="00606F96"/>
    <w:rsid w:val="00610EDE"/>
    <w:rsid w:val="006127D5"/>
    <w:rsid w:val="00612AE3"/>
    <w:rsid w:val="00623023"/>
    <w:rsid w:val="0063549B"/>
    <w:rsid w:val="00641DCE"/>
    <w:rsid w:val="006548F3"/>
    <w:rsid w:val="00660BFC"/>
    <w:rsid w:val="00662DCF"/>
    <w:rsid w:val="006678E4"/>
    <w:rsid w:val="00670688"/>
    <w:rsid w:val="0067151A"/>
    <w:rsid w:val="006726C7"/>
    <w:rsid w:val="00676308"/>
    <w:rsid w:val="00677909"/>
    <w:rsid w:val="00677E09"/>
    <w:rsid w:val="0068107A"/>
    <w:rsid w:val="00685384"/>
    <w:rsid w:val="00691E09"/>
    <w:rsid w:val="00692C24"/>
    <w:rsid w:val="006B1527"/>
    <w:rsid w:val="006B6287"/>
    <w:rsid w:val="006C24F9"/>
    <w:rsid w:val="006C3CA5"/>
    <w:rsid w:val="006C5341"/>
    <w:rsid w:val="006C5AFD"/>
    <w:rsid w:val="006C79E6"/>
    <w:rsid w:val="006D4F4F"/>
    <w:rsid w:val="006E0F09"/>
    <w:rsid w:val="006E52CC"/>
    <w:rsid w:val="006E596E"/>
    <w:rsid w:val="0070341D"/>
    <w:rsid w:val="00703D0F"/>
    <w:rsid w:val="007040DC"/>
    <w:rsid w:val="00712147"/>
    <w:rsid w:val="00714DF9"/>
    <w:rsid w:val="00715DCF"/>
    <w:rsid w:val="00716A28"/>
    <w:rsid w:val="00720E81"/>
    <w:rsid w:val="00735F69"/>
    <w:rsid w:val="00740F5D"/>
    <w:rsid w:val="00742E22"/>
    <w:rsid w:val="00744B82"/>
    <w:rsid w:val="00745B87"/>
    <w:rsid w:val="00747720"/>
    <w:rsid w:val="0075132A"/>
    <w:rsid w:val="00753767"/>
    <w:rsid w:val="00753B04"/>
    <w:rsid w:val="00776755"/>
    <w:rsid w:val="007772D0"/>
    <w:rsid w:val="0078134F"/>
    <w:rsid w:val="00786294"/>
    <w:rsid w:val="007909EC"/>
    <w:rsid w:val="007C46BF"/>
    <w:rsid w:val="007C7EAD"/>
    <w:rsid w:val="007D0AAD"/>
    <w:rsid w:val="007D1775"/>
    <w:rsid w:val="007D77F9"/>
    <w:rsid w:val="007E166E"/>
    <w:rsid w:val="007E2E43"/>
    <w:rsid w:val="007E5657"/>
    <w:rsid w:val="007E58D5"/>
    <w:rsid w:val="007E7322"/>
    <w:rsid w:val="007F05CE"/>
    <w:rsid w:val="007F41B0"/>
    <w:rsid w:val="0080206A"/>
    <w:rsid w:val="00803893"/>
    <w:rsid w:val="008059AF"/>
    <w:rsid w:val="00810A43"/>
    <w:rsid w:val="00812EFD"/>
    <w:rsid w:val="008155E3"/>
    <w:rsid w:val="0081631F"/>
    <w:rsid w:val="00824F07"/>
    <w:rsid w:val="0082734F"/>
    <w:rsid w:val="00827894"/>
    <w:rsid w:val="00836254"/>
    <w:rsid w:val="0084009C"/>
    <w:rsid w:val="0084022B"/>
    <w:rsid w:val="00850CC8"/>
    <w:rsid w:val="00851751"/>
    <w:rsid w:val="00852F10"/>
    <w:rsid w:val="00856235"/>
    <w:rsid w:val="00856ECB"/>
    <w:rsid w:val="008574E0"/>
    <w:rsid w:val="0087074F"/>
    <w:rsid w:val="00887327"/>
    <w:rsid w:val="00891EFB"/>
    <w:rsid w:val="008A0478"/>
    <w:rsid w:val="008A4575"/>
    <w:rsid w:val="008B543B"/>
    <w:rsid w:val="008B5978"/>
    <w:rsid w:val="008B5AB2"/>
    <w:rsid w:val="008C1805"/>
    <w:rsid w:val="008C71F8"/>
    <w:rsid w:val="008D3127"/>
    <w:rsid w:val="008D6C80"/>
    <w:rsid w:val="008E408B"/>
    <w:rsid w:val="008E51FF"/>
    <w:rsid w:val="008E5C7C"/>
    <w:rsid w:val="008E7802"/>
    <w:rsid w:val="008F620C"/>
    <w:rsid w:val="00904193"/>
    <w:rsid w:val="00905E69"/>
    <w:rsid w:val="009122BA"/>
    <w:rsid w:val="00915AE4"/>
    <w:rsid w:val="00921482"/>
    <w:rsid w:val="00921BD5"/>
    <w:rsid w:val="009273BA"/>
    <w:rsid w:val="009313A0"/>
    <w:rsid w:val="00933299"/>
    <w:rsid w:val="00937CDC"/>
    <w:rsid w:val="0094303C"/>
    <w:rsid w:val="00943A31"/>
    <w:rsid w:val="00945027"/>
    <w:rsid w:val="009511BE"/>
    <w:rsid w:val="00957F12"/>
    <w:rsid w:val="00963777"/>
    <w:rsid w:val="00972C52"/>
    <w:rsid w:val="009757FE"/>
    <w:rsid w:val="00980A25"/>
    <w:rsid w:val="00981C6F"/>
    <w:rsid w:val="00991631"/>
    <w:rsid w:val="00991CE2"/>
    <w:rsid w:val="009932B4"/>
    <w:rsid w:val="00994711"/>
    <w:rsid w:val="009974DB"/>
    <w:rsid w:val="009A0C39"/>
    <w:rsid w:val="009A4DD0"/>
    <w:rsid w:val="009A66F4"/>
    <w:rsid w:val="009B36CD"/>
    <w:rsid w:val="009D60ED"/>
    <w:rsid w:val="009E011C"/>
    <w:rsid w:val="009E2EAF"/>
    <w:rsid w:val="009E61FA"/>
    <w:rsid w:val="009F0C77"/>
    <w:rsid w:val="00A01F86"/>
    <w:rsid w:val="00A16B71"/>
    <w:rsid w:val="00A2437C"/>
    <w:rsid w:val="00A26265"/>
    <w:rsid w:val="00A451D3"/>
    <w:rsid w:val="00A52CA3"/>
    <w:rsid w:val="00A5590C"/>
    <w:rsid w:val="00A63753"/>
    <w:rsid w:val="00A726EF"/>
    <w:rsid w:val="00A75BB3"/>
    <w:rsid w:val="00A8444A"/>
    <w:rsid w:val="00A84827"/>
    <w:rsid w:val="00A961BA"/>
    <w:rsid w:val="00AA2050"/>
    <w:rsid w:val="00AA2CE5"/>
    <w:rsid w:val="00AB4C91"/>
    <w:rsid w:val="00AB60AB"/>
    <w:rsid w:val="00AC2406"/>
    <w:rsid w:val="00AD4FBA"/>
    <w:rsid w:val="00AD5F57"/>
    <w:rsid w:val="00AD7F0A"/>
    <w:rsid w:val="00AE1861"/>
    <w:rsid w:val="00AF20A0"/>
    <w:rsid w:val="00AF3993"/>
    <w:rsid w:val="00AF54E6"/>
    <w:rsid w:val="00AF587B"/>
    <w:rsid w:val="00B013B6"/>
    <w:rsid w:val="00B36148"/>
    <w:rsid w:val="00B5221F"/>
    <w:rsid w:val="00B533EF"/>
    <w:rsid w:val="00B6026A"/>
    <w:rsid w:val="00B656D4"/>
    <w:rsid w:val="00B82601"/>
    <w:rsid w:val="00B86940"/>
    <w:rsid w:val="00B87818"/>
    <w:rsid w:val="00B917C9"/>
    <w:rsid w:val="00B934A9"/>
    <w:rsid w:val="00BA6CA4"/>
    <w:rsid w:val="00BB1D10"/>
    <w:rsid w:val="00BB4647"/>
    <w:rsid w:val="00BB64F9"/>
    <w:rsid w:val="00BB7449"/>
    <w:rsid w:val="00BC033B"/>
    <w:rsid w:val="00BE204C"/>
    <w:rsid w:val="00BE2A4E"/>
    <w:rsid w:val="00BE2F4A"/>
    <w:rsid w:val="00BE406C"/>
    <w:rsid w:val="00BF6FEE"/>
    <w:rsid w:val="00C075B5"/>
    <w:rsid w:val="00C14520"/>
    <w:rsid w:val="00C15D3E"/>
    <w:rsid w:val="00C1652D"/>
    <w:rsid w:val="00C21A6E"/>
    <w:rsid w:val="00C26125"/>
    <w:rsid w:val="00C27292"/>
    <w:rsid w:val="00C3133C"/>
    <w:rsid w:val="00C36FD5"/>
    <w:rsid w:val="00C42452"/>
    <w:rsid w:val="00C47D9D"/>
    <w:rsid w:val="00C56E38"/>
    <w:rsid w:val="00C60850"/>
    <w:rsid w:val="00C62DD4"/>
    <w:rsid w:val="00C812F0"/>
    <w:rsid w:val="00C8173B"/>
    <w:rsid w:val="00C85F3F"/>
    <w:rsid w:val="00C934A9"/>
    <w:rsid w:val="00C97CBE"/>
    <w:rsid w:val="00CA0C95"/>
    <w:rsid w:val="00CC40E5"/>
    <w:rsid w:val="00CC4331"/>
    <w:rsid w:val="00CC72D8"/>
    <w:rsid w:val="00CE21C6"/>
    <w:rsid w:val="00CE3D50"/>
    <w:rsid w:val="00CF3CDB"/>
    <w:rsid w:val="00CF762A"/>
    <w:rsid w:val="00D00180"/>
    <w:rsid w:val="00D011A6"/>
    <w:rsid w:val="00D15935"/>
    <w:rsid w:val="00D24B0F"/>
    <w:rsid w:val="00D25829"/>
    <w:rsid w:val="00D352F2"/>
    <w:rsid w:val="00D35FAC"/>
    <w:rsid w:val="00D3780F"/>
    <w:rsid w:val="00D42E1B"/>
    <w:rsid w:val="00D47416"/>
    <w:rsid w:val="00D52C80"/>
    <w:rsid w:val="00D53C84"/>
    <w:rsid w:val="00D53C9F"/>
    <w:rsid w:val="00D54B68"/>
    <w:rsid w:val="00D55846"/>
    <w:rsid w:val="00D66CCB"/>
    <w:rsid w:val="00D72AF7"/>
    <w:rsid w:val="00D81580"/>
    <w:rsid w:val="00DA1BF8"/>
    <w:rsid w:val="00DA2D66"/>
    <w:rsid w:val="00DA46D6"/>
    <w:rsid w:val="00DB0C4C"/>
    <w:rsid w:val="00DB2CEC"/>
    <w:rsid w:val="00DC0ADA"/>
    <w:rsid w:val="00DC16BA"/>
    <w:rsid w:val="00DC4F17"/>
    <w:rsid w:val="00DC60C9"/>
    <w:rsid w:val="00DC640D"/>
    <w:rsid w:val="00DC7090"/>
    <w:rsid w:val="00DD222A"/>
    <w:rsid w:val="00DD375C"/>
    <w:rsid w:val="00DD7170"/>
    <w:rsid w:val="00DE10F8"/>
    <w:rsid w:val="00DE48FA"/>
    <w:rsid w:val="00DF162D"/>
    <w:rsid w:val="00E00874"/>
    <w:rsid w:val="00E02135"/>
    <w:rsid w:val="00E07CD1"/>
    <w:rsid w:val="00E12A19"/>
    <w:rsid w:val="00E235C2"/>
    <w:rsid w:val="00E26007"/>
    <w:rsid w:val="00E35EF4"/>
    <w:rsid w:val="00E46890"/>
    <w:rsid w:val="00E63CAC"/>
    <w:rsid w:val="00E66259"/>
    <w:rsid w:val="00E679FB"/>
    <w:rsid w:val="00E76FBD"/>
    <w:rsid w:val="00E80CA6"/>
    <w:rsid w:val="00E83310"/>
    <w:rsid w:val="00E84842"/>
    <w:rsid w:val="00E87AFA"/>
    <w:rsid w:val="00E92B7A"/>
    <w:rsid w:val="00EA1FD4"/>
    <w:rsid w:val="00EA3B3F"/>
    <w:rsid w:val="00EB027F"/>
    <w:rsid w:val="00EC02D6"/>
    <w:rsid w:val="00EC0B0D"/>
    <w:rsid w:val="00EC0C67"/>
    <w:rsid w:val="00EC62F8"/>
    <w:rsid w:val="00EC6515"/>
    <w:rsid w:val="00EE0FB0"/>
    <w:rsid w:val="00EE5F97"/>
    <w:rsid w:val="00EF1600"/>
    <w:rsid w:val="00F00D26"/>
    <w:rsid w:val="00F124DF"/>
    <w:rsid w:val="00F14355"/>
    <w:rsid w:val="00F16156"/>
    <w:rsid w:val="00F24CEE"/>
    <w:rsid w:val="00F31E7D"/>
    <w:rsid w:val="00F33719"/>
    <w:rsid w:val="00F33A72"/>
    <w:rsid w:val="00F33F57"/>
    <w:rsid w:val="00F35F1B"/>
    <w:rsid w:val="00F3762B"/>
    <w:rsid w:val="00F47E98"/>
    <w:rsid w:val="00F54449"/>
    <w:rsid w:val="00F552BB"/>
    <w:rsid w:val="00F62AF7"/>
    <w:rsid w:val="00F65590"/>
    <w:rsid w:val="00F73121"/>
    <w:rsid w:val="00F81157"/>
    <w:rsid w:val="00F82E11"/>
    <w:rsid w:val="00F871B4"/>
    <w:rsid w:val="00F968C5"/>
    <w:rsid w:val="00FA1E47"/>
    <w:rsid w:val="00FA4E97"/>
    <w:rsid w:val="00FA6C01"/>
    <w:rsid w:val="00FB1B75"/>
    <w:rsid w:val="00FC1A85"/>
    <w:rsid w:val="00FC216A"/>
    <w:rsid w:val="00FC5842"/>
    <w:rsid w:val="00FD0279"/>
    <w:rsid w:val="00FE02E9"/>
    <w:rsid w:val="00FE2373"/>
    <w:rsid w:val="00FF1280"/>
    <w:rsid w:val="00FF13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C4D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8783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8783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E732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C0AD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5A2B"/>
    <w:pPr>
      <w:ind w:left="720"/>
      <w:contextualSpacing/>
    </w:pPr>
  </w:style>
  <w:style w:type="paragraph" w:customStyle="1" w:styleId="Default">
    <w:name w:val="Default"/>
    <w:rsid w:val="00437426"/>
    <w:pPr>
      <w:autoSpaceDE w:val="0"/>
      <w:autoSpaceDN w:val="0"/>
      <w:adjustRightInd w:val="0"/>
    </w:pPr>
    <w:rPr>
      <w:rFonts w:ascii="Charis SIL" w:hAnsi="Charis SIL" w:cs="Charis SIL"/>
      <w:color w:val="000000"/>
      <w:kern w:val="0"/>
    </w:rPr>
  </w:style>
  <w:style w:type="character" w:styleId="Hyperlink">
    <w:name w:val="Hyperlink"/>
    <w:basedOn w:val="DefaultParagraphFont"/>
    <w:uiPriority w:val="99"/>
    <w:unhideWhenUsed/>
    <w:rsid w:val="008F620C"/>
    <w:rPr>
      <w:color w:val="0563C1" w:themeColor="hyperlink"/>
      <w:u w:val="single"/>
    </w:rPr>
  </w:style>
  <w:style w:type="character" w:customStyle="1" w:styleId="UnresolvedMention">
    <w:name w:val="Unresolved Mention"/>
    <w:basedOn w:val="DefaultParagraphFont"/>
    <w:uiPriority w:val="99"/>
    <w:semiHidden/>
    <w:unhideWhenUsed/>
    <w:rsid w:val="008F620C"/>
    <w:rPr>
      <w:color w:val="605E5C"/>
      <w:shd w:val="clear" w:color="auto" w:fill="E1DFDD"/>
    </w:rPr>
  </w:style>
  <w:style w:type="paragraph" w:customStyle="1" w:styleId="EndNoteBibliographyTitle">
    <w:name w:val="EndNote Bibliography Title"/>
    <w:basedOn w:val="Normal"/>
    <w:link w:val="EndNoteBibliographyTitleChar"/>
    <w:rsid w:val="00810A43"/>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10A43"/>
    <w:rPr>
      <w:rFonts w:ascii="Calibri" w:hAnsi="Calibri" w:cs="Calibri"/>
      <w:noProof/>
    </w:rPr>
  </w:style>
  <w:style w:type="paragraph" w:customStyle="1" w:styleId="EndNoteBibliography">
    <w:name w:val="EndNote Bibliography"/>
    <w:basedOn w:val="Normal"/>
    <w:link w:val="EndNoteBibliographyChar"/>
    <w:rsid w:val="00810A43"/>
    <w:pPr>
      <w:jc w:val="both"/>
    </w:pPr>
    <w:rPr>
      <w:rFonts w:ascii="Calibri" w:hAnsi="Calibri" w:cs="Calibri"/>
      <w:noProof/>
    </w:rPr>
  </w:style>
  <w:style w:type="character" w:customStyle="1" w:styleId="EndNoteBibliographyChar">
    <w:name w:val="EndNote Bibliography Char"/>
    <w:basedOn w:val="DefaultParagraphFont"/>
    <w:link w:val="EndNoteBibliography"/>
    <w:rsid w:val="00810A43"/>
    <w:rPr>
      <w:rFonts w:ascii="Calibri" w:hAnsi="Calibri" w:cs="Calibri"/>
      <w:noProof/>
    </w:rPr>
  </w:style>
  <w:style w:type="paragraph" w:styleId="NoSpacing">
    <w:name w:val="No Spacing"/>
    <w:uiPriority w:val="1"/>
    <w:qFormat/>
    <w:rsid w:val="00387835"/>
  </w:style>
  <w:style w:type="character" w:customStyle="1" w:styleId="Heading2Char">
    <w:name w:val="Heading 2 Char"/>
    <w:basedOn w:val="DefaultParagraphFont"/>
    <w:link w:val="Heading2"/>
    <w:uiPriority w:val="9"/>
    <w:rsid w:val="0038783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387835"/>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38783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835"/>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rsid w:val="00E63CAC"/>
    <w:pPr>
      <w:tabs>
        <w:tab w:val="center" w:pos="4680"/>
        <w:tab w:val="right" w:pos="9360"/>
      </w:tabs>
    </w:pPr>
  </w:style>
  <w:style w:type="character" w:customStyle="1" w:styleId="FooterChar">
    <w:name w:val="Footer Char"/>
    <w:basedOn w:val="DefaultParagraphFont"/>
    <w:link w:val="Footer"/>
    <w:uiPriority w:val="99"/>
    <w:rsid w:val="00E63CAC"/>
  </w:style>
  <w:style w:type="character" w:styleId="PageNumber">
    <w:name w:val="page number"/>
    <w:basedOn w:val="DefaultParagraphFont"/>
    <w:uiPriority w:val="99"/>
    <w:semiHidden/>
    <w:unhideWhenUsed/>
    <w:rsid w:val="00E63CAC"/>
  </w:style>
  <w:style w:type="paragraph" w:styleId="NormalWeb">
    <w:name w:val="Normal (Web)"/>
    <w:basedOn w:val="Normal"/>
    <w:uiPriority w:val="99"/>
    <w:unhideWhenUsed/>
    <w:rsid w:val="000453F6"/>
    <w:pPr>
      <w:spacing w:before="100" w:beforeAutospacing="1" w:after="100" w:afterAutospacing="1"/>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933299"/>
    <w:rPr>
      <w:i/>
      <w:iCs/>
    </w:rPr>
  </w:style>
  <w:style w:type="character" w:styleId="Strong">
    <w:name w:val="Strong"/>
    <w:basedOn w:val="DefaultParagraphFont"/>
    <w:uiPriority w:val="22"/>
    <w:qFormat/>
    <w:rsid w:val="003610E9"/>
    <w:rPr>
      <w:b/>
      <w:bCs/>
    </w:rPr>
  </w:style>
  <w:style w:type="character" w:customStyle="1" w:styleId="ml-05">
    <w:name w:val="ml-0.5"/>
    <w:basedOn w:val="DefaultParagraphFont"/>
    <w:rsid w:val="003610E9"/>
  </w:style>
  <w:style w:type="character" w:customStyle="1" w:styleId="Heading3Char">
    <w:name w:val="Heading 3 Char"/>
    <w:basedOn w:val="DefaultParagraphFont"/>
    <w:link w:val="Heading3"/>
    <w:uiPriority w:val="9"/>
    <w:rsid w:val="007E7322"/>
    <w:rPr>
      <w:rFonts w:asciiTheme="majorHAnsi" w:eastAsiaTheme="majorEastAsia" w:hAnsiTheme="majorHAnsi" w:cstheme="majorBidi"/>
      <w:color w:val="1F3763" w:themeColor="accent1" w:themeShade="7F"/>
    </w:rPr>
  </w:style>
  <w:style w:type="character" w:customStyle="1" w:styleId="sr-only">
    <w:name w:val="sr-only"/>
    <w:basedOn w:val="DefaultParagraphFont"/>
    <w:rsid w:val="00552020"/>
  </w:style>
  <w:style w:type="character" w:customStyle="1" w:styleId="Heading4Char">
    <w:name w:val="Heading 4 Char"/>
    <w:basedOn w:val="DefaultParagraphFont"/>
    <w:link w:val="Heading4"/>
    <w:uiPriority w:val="9"/>
    <w:semiHidden/>
    <w:rsid w:val="00DC0ADA"/>
    <w:rPr>
      <w:rFonts w:asciiTheme="majorHAnsi" w:eastAsiaTheme="majorEastAsia" w:hAnsiTheme="majorHAnsi" w:cstheme="majorBidi"/>
      <w:i/>
      <w:iCs/>
      <w:color w:val="2F5496" w:themeColor="accent1" w:themeShade="BF"/>
    </w:rPr>
  </w:style>
  <w:style w:type="character" w:customStyle="1" w:styleId="apple-converted-space">
    <w:name w:val="apple-converted-space"/>
    <w:basedOn w:val="DefaultParagraphFont"/>
    <w:rsid w:val="00DD7170"/>
  </w:style>
  <w:style w:type="table" w:styleId="TableGrid">
    <w:name w:val="Table Grid"/>
    <w:basedOn w:val="TableNormal"/>
    <w:uiPriority w:val="39"/>
    <w:rsid w:val="003B2D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F00D26"/>
    <w:rPr>
      <w:sz w:val="20"/>
      <w:szCs w:val="20"/>
    </w:rPr>
  </w:style>
  <w:style w:type="character" w:customStyle="1" w:styleId="FootnoteTextChar">
    <w:name w:val="Footnote Text Char"/>
    <w:basedOn w:val="DefaultParagraphFont"/>
    <w:link w:val="FootnoteText"/>
    <w:uiPriority w:val="99"/>
    <w:semiHidden/>
    <w:rsid w:val="00F00D26"/>
    <w:rPr>
      <w:sz w:val="20"/>
      <w:szCs w:val="20"/>
    </w:rPr>
  </w:style>
  <w:style w:type="character" w:styleId="FootnoteReference">
    <w:name w:val="footnote reference"/>
    <w:basedOn w:val="DefaultParagraphFont"/>
    <w:uiPriority w:val="99"/>
    <w:semiHidden/>
    <w:unhideWhenUsed/>
    <w:rsid w:val="00F00D26"/>
    <w:rPr>
      <w:vertAlign w:val="superscript"/>
    </w:rPr>
  </w:style>
  <w:style w:type="paragraph" w:styleId="Subtitle">
    <w:name w:val="Subtitle"/>
    <w:basedOn w:val="Normal"/>
    <w:next w:val="Normal"/>
    <w:link w:val="SubtitleChar"/>
    <w:uiPriority w:val="11"/>
    <w:qFormat/>
    <w:rsid w:val="00EC0B0D"/>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EC0B0D"/>
    <w:rPr>
      <w:rFonts w:eastAsiaTheme="minorEastAsia"/>
      <w:color w:val="5A5A5A" w:themeColor="text1" w:themeTint="A5"/>
      <w:spacing w:val="15"/>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8783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8783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E732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C0AD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5A2B"/>
    <w:pPr>
      <w:ind w:left="720"/>
      <w:contextualSpacing/>
    </w:pPr>
  </w:style>
  <w:style w:type="paragraph" w:customStyle="1" w:styleId="Default">
    <w:name w:val="Default"/>
    <w:rsid w:val="00437426"/>
    <w:pPr>
      <w:autoSpaceDE w:val="0"/>
      <w:autoSpaceDN w:val="0"/>
      <w:adjustRightInd w:val="0"/>
    </w:pPr>
    <w:rPr>
      <w:rFonts w:ascii="Charis SIL" w:hAnsi="Charis SIL" w:cs="Charis SIL"/>
      <w:color w:val="000000"/>
      <w:kern w:val="0"/>
    </w:rPr>
  </w:style>
  <w:style w:type="character" w:styleId="Hyperlink">
    <w:name w:val="Hyperlink"/>
    <w:basedOn w:val="DefaultParagraphFont"/>
    <w:uiPriority w:val="99"/>
    <w:unhideWhenUsed/>
    <w:rsid w:val="008F620C"/>
    <w:rPr>
      <w:color w:val="0563C1" w:themeColor="hyperlink"/>
      <w:u w:val="single"/>
    </w:rPr>
  </w:style>
  <w:style w:type="character" w:customStyle="1" w:styleId="UnresolvedMention">
    <w:name w:val="Unresolved Mention"/>
    <w:basedOn w:val="DefaultParagraphFont"/>
    <w:uiPriority w:val="99"/>
    <w:semiHidden/>
    <w:unhideWhenUsed/>
    <w:rsid w:val="008F620C"/>
    <w:rPr>
      <w:color w:val="605E5C"/>
      <w:shd w:val="clear" w:color="auto" w:fill="E1DFDD"/>
    </w:rPr>
  </w:style>
  <w:style w:type="paragraph" w:customStyle="1" w:styleId="EndNoteBibliographyTitle">
    <w:name w:val="EndNote Bibliography Title"/>
    <w:basedOn w:val="Normal"/>
    <w:link w:val="EndNoteBibliographyTitleChar"/>
    <w:rsid w:val="00810A43"/>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810A43"/>
    <w:rPr>
      <w:rFonts w:ascii="Calibri" w:hAnsi="Calibri" w:cs="Calibri"/>
      <w:noProof/>
    </w:rPr>
  </w:style>
  <w:style w:type="paragraph" w:customStyle="1" w:styleId="EndNoteBibliography">
    <w:name w:val="EndNote Bibliography"/>
    <w:basedOn w:val="Normal"/>
    <w:link w:val="EndNoteBibliographyChar"/>
    <w:rsid w:val="00810A43"/>
    <w:pPr>
      <w:jc w:val="both"/>
    </w:pPr>
    <w:rPr>
      <w:rFonts w:ascii="Calibri" w:hAnsi="Calibri" w:cs="Calibri"/>
      <w:noProof/>
    </w:rPr>
  </w:style>
  <w:style w:type="character" w:customStyle="1" w:styleId="EndNoteBibliographyChar">
    <w:name w:val="EndNote Bibliography Char"/>
    <w:basedOn w:val="DefaultParagraphFont"/>
    <w:link w:val="EndNoteBibliography"/>
    <w:rsid w:val="00810A43"/>
    <w:rPr>
      <w:rFonts w:ascii="Calibri" w:hAnsi="Calibri" w:cs="Calibri"/>
      <w:noProof/>
    </w:rPr>
  </w:style>
  <w:style w:type="paragraph" w:styleId="NoSpacing">
    <w:name w:val="No Spacing"/>
    <w:uiPriority w:val="1"/>
    <w:qFormat/>
    <w:rsid w:val="00387835"/>
  </w:style>
  <w:style w:type="character" w:customStyle="1" w:styleId="Heading2Char">
    <w:name w:val="Heading 2 Char"/>
    <w:basedOn w:val="DefaultParagraphFont"/>
    <w:link w:val="Heading2"/>
    <w:uiPriority w:val="9"/>
    <w:rsid w:val="0038783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387835"/>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38783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835"/>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rsid w:val="00E63CAC"/>
    <w:pPr>
      <w:tabs>
        <w:tab w:val="center" w:pos="4680"/>
        <w:tab w:val="right" w:pos="9360"/>
      </w:tabs>
    </w:pPr>
  </w:style>
  <w:style w:type="character" w:customStyle="1" w:styleId="FooterChar">
    <w:name w:val="Footer Char"/>
    <w:basedOn w:val="DefaultParagraphFont"/>
    <w:link w:val="Footer"/>
    <w:uiPriority w:val="99"/>
    <w:rsid w:val="00E63CAC"/>
  </w:style>
  <w:style w:type="character" w:styleId="PageNumber">
    <w:name w:val="page number"/>
    <w:basedOn w:val="DefaultParagraphFont"/>
    <w:uiPriority w:val="99"/>
    <w:semiHidden/>
    <w:unhideWhenUsed/>
    <w:rsid w:val="00E63CAC"/>
  </w:style>
  <w:style w:type="paragraph" w:styleId="NormalWeb">
    <w:name w:val="Normal (Web)"/>
    <w:basedOn w:val="Normal"/>
    <w:uiPriority w:val="99"/>
    <w:unhideWhenUsed/>
    <w:rsid w:val="000453F6"/>
    <w:pPr>
      <w:spacing w:before="100" w:beforeAutospacing="1" w:after="100" w:afterAutospacing="1"/>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933299"/>
    <w:rPr>
      <w:i/>
      <w:iCs/>
    </w:rPr>
  </w:style>
  <w:style w:type="character" w:styleId="Strong">
    <w:name w:val="Strong"/>
    <w:basedOn w:val="DefaultParagraphFont"/>
    <w:uiPriority w:val="22"/>
    <w:qFormat/>
    <w:rsid w:val="003610E9"/>
    <w:rPr>
      <w:b/>
      <w:bCs/>
    </w:rPr>
  </w:style>
  <w:style w:type="character" w:customStyle="1" w:styleId="ml-05">
    <w:name w:val="ml-0.5"/>
    <w:basedOn w:val="DefaultParagraphFont"/>
    <w:rsid w:val="003610E9"/>
  </w:style>
  <w:style w:type="character" w:customStyle="1" w:styleId="Heading3Char">
    <w:name w:val="Heading 3 Char"/>
    <w:basedOn w:val="DefaultParagraphFont"/>
    <w:link w:val="Heading3"/>
    <w:uiPriority w:val="9"/>
    <w:rsid w:val="007E7322"/>
    <w:rPr>
      <w:rFonts w:asciiTheme="majorHAnsi" w:eastAsiaTheme="majorEastAsia" w:hAnsiTheme="majorHAnsi" w:cstheme="majorBidi"/>
      <w:color w:val="1F3763" w:themeColor="accent1" w:themeShade="7F"/>
    </w:rPr>
  </w:style>
  <w:style w:type="character" w:customStyle="1" w:styleId="sr-only">
    <w:name w:val="sr-only"/>
    <w:basedOn w:val="DefaultParagraphFont"/>
    <w:rsid w:val="00552020"/>
  </w:style>
  <w:style w:type="character" w:customStyle="1" w:styleId="Heading4Char">
    <w:name w:val="Heading 4 Char"/>
    <w:basedOn w:val="DefaultParagraphFont"/>
    <w:link w:val="Heading4"/>
    <w:uiPriority w:val="9"/>
    <w:semiHidden/>
    <w:rsid w:val="00DC0ADA"/>
    <w:rPr>
      <w:rFonts w:asciiTheme="majorHAnsi" w:eastAsiaTheme="majorEastAsia" w:hAnsiTheme="majorHAnsi" w:cstheme="majorBidi"/>
      <w:i/>
      <w:iCs/>
      <w:color w:val="2F5496" w:themeColor="accent1" w:themeShade="BF"/>
    </w:rPr>
  </w:style>
  <w:style w:type="character" w:customStyle="1" w:styleId="apple-converted-space">
    <w:name w:val="apple-converted-space"/>
    <w:basedOn w:val="DefaultParagraphFont"/>
    <w:rsid w:val="00DD7170"/>
  </w:style>
  <w:style w:type="table" w:styleId="TableGrid">
    <w:name w:val="Table Grid"/>
    <w:basedOn w:val="TableNormal"/>
    <w:uiPriority w:val="39"/>
    <w:rsid w:val="003B2D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F00D26"/>
    <w:rPr>
      <w:sz w:val="20"/>
      <w:szCs w:val="20"/>
    </w:rPr>
  </w:style>
  <w:style w:type="character" w:customStyle="1" w:styleId="FootnoteTextChar">
    <w:name w:val="Footnote Text Char"/>
    <w:basedOn w:val="DefaultParagraphFont"/>
    <w:link w:val="FootnoteText"/>
    <w:uiPriority w:val="99"/>
    <w:semiHidden/>
    <w:rsid w:val="00F00D26"/>
    <w:rPr>
      <w:sz w:val="20"/>
      <w:szCs w:val="20"/>
    </w:rPr>
  </w:style>
  <w:style w:type="character" w:styleId="FootnoteReference">
    <w:name w:val="footnote reference"/>
    <w:basedOn w:val="DefaultParagraphFont"/>
    <w:uiPriority w:val="99"/>
    <w:semiHidden/>
    <w:unhideWhenUsed/>
    <w:rsid w:val="00F00D26"/>
    <w:rPr>
      <w:vertAlign w:val="superscript"/>
    </w:rPr>
  </w:style>
  <w:style w:type="paragraph" w:styleId="Subtitle">
    <w:name w:val="Subtitle"/>
    <w:basedOn w:val="Normal"/>
    <w:next w:val="Normal"/>
    <w:link w:val="SubtitleChar"/>
    <w:uiPriority w:val="11"/>
    <w:qFormat/>
    <w:rsid w:val="00EC0B0D"/>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EC0B0D"/>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72293">
      <w:bodyDiv w:val="1"/>
      <w:marLeft w:val="0"/>
      <w:marRight w:val="0"/>
      <w:marTop w:val="0"/>
      <w:marBottom w:val="0"/>
      <w:divBdr>
        <w:top w:val="none" w:sz="0" w:space="0" w:color="auto"/>
        <w:left w:val="none" w:sz="0" w:space="0" w:color="auto"/>
        <w:bottom w:val="none" w:sz="0" w:space="0" w:color="auto"/>
        <w:right w:val="none" w:sz="0" w:space="0" w:color="auto"/>
      </w:divBdr>
    </w:div>
    <w:div w:id="129785318">
      <w:bodyDiv w:val="1"/>
      <w:marLeft w:val="0"/>
      <w:marRight w:val="0"/>
      <w:marTop w:val="0"/>
      <w:marBottom w:val="0"/>
      <w:divBdr>
        <w:top w:val="none" w:sz="0" w:space="0" w:color="auto"/>
        <w:left w:val="none" w:sz="0" w:space="0" w:color="auto"/>
        <w:bottom w:val="none" w:sz="0" w:space="0" w:color="auto"/>
        <w:right w:val="none" w:sz="0" w:space="0" w:color="auto"/>
      </w:divBdr>
    </w:div>
    <w:div w:id="280458454">
      <w:bodyDiv w:val="1"/>
      <w:marLeft w:val="0"/>
      <w:marRight w:val="0"/>
      <w:marTop w:val="0"/>
      <w:marBottom w:val="0"/>
      <w:divBdr>
        <w:top w:val="none" w:sz="0" w:space="0" w:color="auto"/>
        <w:left w:val="none" w:sz="0" w:space="0" w:color="auto"/>
        <w:bottom w:val="none" w:sz="0" w:space="0" w:color="auto"/>
        <w:right w:val="none" w:sz="0" w:space="0" w:color="auto"/>
      </w:divBdr>
    </w:div>
    <w:div w:id="559290469">
      <w:bodyDiv w:val="1"/>
      <w:marLeft w:val="0"/>
      <w:marRight w:val="0"/>
      <w:marTop w:val="0"/>
      <w:marBottom w:val="0"/>
      <w:divBdr>
        <w:top w:val="none" w:sz="0" w:space="0" w:color="auto"/>
        <w:left w:val="none" w:sz="0" w:space="0" w:color="auto"/>
        <w:bottom w:val="none" w:sz="0" w:space="0" w:color="auto"/>
        <w:right w:val="none" w:sz="0" w:space="0" w:color="auto"/>
      </w:divBdr>
    </w:div>
    <w:div w:id="599026480">
      <w:bodyDiv w:val="1"/>
      <w:marLeft w:val="0"/>
      <w:marRight w:val="0"/>
      <w:marTop w:val="0"/>
      <w:marBottom w:val="0"/>
      <w:divBdr>
        <w:top w:val="none" w:sz="0" w:space="0" w:color="auto"/>
        <w:left w:val="none" w:sz="0" w:space="0" w:color="auto"/>
        <w:bottom w:val="none" w:sz="0" w:space="0" w:color="auto"/>
        <w:right w:val="none" w:sz="0" w:space="0" w:color="auto"/>
      </w:divBdr>
    </w:div>
    <w:div w:id="623658190">
      <w:bodyDiv w:val="1"/>
      <w:marLeft w:val="0"/>
      <w:marRight w:val="0"/>
      <w:marTop w:val="0"/>
      <w:marBottom w:val="0"/>
      <w:divBdr>
        <w:top w:val="none" w:sz="0" w:space="0" w:color="auto"/>
        <w:left w:val="none" w:sz="0" w:space="0" w:color="auto"/>
        <w:bottom w:val="none" w:sz="0" w:space="0" w:color="auto"/>
        <w:right w:val="none" w:sz="0" w:space="0" w:color="auto"/>
      </w:divBdr>
    </w:div>
    <w:div w:id="657881231">
      <w:bodyDiv w:val="1"/>
      <w:marLeft w:val="0"/>
      <w:marRight w:val="0"/>
      <w:marTop w:val="0"/>
      <w:marBottom w:val="0"/>
      <w:divBdr>
        <w:top w:val="none" w:sz="0" w:space="0" w:color="auto"/>
        <w:left w:val="none" w:sz="0" w:space="0" w:color="auto"/>
        <w:bottom w:val="none" w:sz="0" w:space="0" w:color="auto"/>
        <w:right w:val="none" w:sz="0" w:space="0" w:color="auto"/>
      </w:divBdr>
    </w:div>
    <w:div w:id="823545774">
      <w:bodyDiv w:val="1"/>
      <w:marLeft w:val="0"/>
      <w:marRight w:val="0"/>
      <w:marTop w:val="0"/>
      <w:marBottom w:val="0"/>
      <w:divBdr>
        <w:top w:val="none" w:sz="0" w:space="0" w:color="auto"/>
        <w:left w:val="none" w:sz="0" w:space="0" w:color="auto"/>
        <w:bottom w:val="none" w:sz="0" w:space="0" w:color="auto"/>
        <w:right w:val="none" w:sz="0" w:space="0" w:color="auto"/>
      </w:divBdr>
    </w:div>
    <w:div w:id="842859181">
      <w:bodyDiv w:val="1"/>
      <w:marLeft w:val="0"/>
      <w:marRight w:val="0"/>
      <w:marTop w:val="0"/>
      <w:marBottom w:val="0"/>
      <w:divBdr>
        <w:top w:val="none" w:sz="0" w:space="0" w:color="auto"/>
        <w:left w:val="none" w:sz="0" w:space="0" w:color="auto"/>
        <w:bottom w:val="none" w:sz="0" w:space="0" w:color="auto"/>
        <w:right w:val="none" w:sz="0" w:space="0" w:color="auto"/>
      </w:divBdr>
    </w:div>
    <w:div w:id="1026294486">
      <w:bodyDiv w:val="1"/>
      <w:marLeft w:val="0"/>
      <w:marRight w:val="0"/>
      <w:marTop w:val="0"/>
      <w:marBottom w:val="0"/>
      <w:divBdr>
        <w:top w:val="none" w:sz="0" w:space="0" w:color="auto"/>
        <w:left w:val="none" w:sz="0" w:space="0" w:color="auto"/>
        <w:bottom w:val="none" w:sz="0" w:space="0" w:color="auto"/>
        <w:right w:val="none" w:sz="0" w:space="0" w:color="auto"/>
      </w:divBdr>
    </w:div>
    <w:div w:id="1053967199">
      <w:bodyDiv w:val="1"/>
      <w:marLeft w:val="0"/>
      <w:marRight w:val="0"/>
      <w:marTop w:val="0"/>
      <w:marBottom w:val="0"/>
      <w:divBdr>
        <w:top w:val="none" w:sz="0" w:space="0" w:color="auto"/>
        <w:left w:val="none" w:sz="0" w:space="0" w:color="auto"/>
        <w:bottom w:val="none" w:sz="0" w:space="0" w:color="auto"/>
        <w:right w:val="none" w:sz="0" w:space="0" w:color="auto"/>
      </w:divBdr>
    </w:div>
    <w:div w:id="1123037061">
      <w:bodyDiv w:val="1"/>
      <w:marLeft w:val="0"/>
      <w:marRight w:val="0"/>
      <w:marTop w:val="0"/>
      <w:marBottom w:val="0"/>
      <w:divBdr>
        <w:top w:val="none" w:sz="0" w:space="0" w:color="auto"/>
        <w:left w:val="none" w:sz="0" w:space="0" w:color="auto"/>
        <w:bottom w:val="none" w:sz="0" w:space="0" w:color="auto"/>
        <w:right w:val="none" w:sz="0" w:space="0" w:color="auto"/>
      </w:divBdr>
    </w:div>
    <w:div w:id="1241867683">
      <w:bodyDiv w:val="1"/>
      <w:marLeft w:val="0"/>
      <w:marRight w:val="0"/>
      <w:marTop w:val="0"/>
      <w:marBottom w:val="0"/>
      <w:divBdr>
        <w:top w:val="none" w:sz="0" w:space="0" w:color="auto"/>
        <w:left w:val="none" w:sz="0" w:space="0" w:color="auto"/>
        <w:bottom w:val="none" w:sz="0" w:space="0" w:color="auto"/>
        <w:right w:val="none" w:sz="0" w:space="0" w:color="auto"/>
      </w:divBdr>
    </w:div>
    <w:div w:id="1246495138">
      <w:bodyDiv w:val="1"/>
      <w:marLeft w:val="0"/>
      <w:marRight w:val="0"/>
      <w:marTop w:val="0"/>
      <w:marBottom w:val="0"/>
      <w:divBdr>
        <w:top w:val="none" w:sz="0" w:space="0" w:color="auto"/>
        <w:left w:val="none" w:sz="0" w:space="0" w:color="auto"/>
        <w:bottom w:val="none" w:sz="0" w:space="0" w:color="auto"/>
        <w:right w:val="none" w:sz="0" w:space="0" w:color="auto"/>
      </w:divBdr>
    </w:div>
    <w:div w:id="1293902352">
      <w:bodyDiv w:val="1"/>
      <w:marLeft w:val="0"/>
      <w:marRight w:val="0"/>
      <w:marTop w:val="0"/>
      <w:marBottom w:val="0"/>
      <w:divBdr>
        <w:top w:val="none" w:sz="0" w:space="0" w:color="auto"/>
        <w:left w:val="none" w:sz="0" w:space="0" w:color="auto"/>
        <w:bottom w:val="none" w:sz="0" w:space="0" w:color="auto"/>
        <w:right w:val="none" w:sz="0" w:space="0" w:color="auto"/>
      </w:divBdr>
    </w:div>
    <w:div w:id="1436711767">
      <w:bodyDiv w:val="1"/>
      <w:marLeft w:val="0"/>
      <w:marRight w:val="0"/>
      <w:marTop w:val="0"/>
      <w:marBottom w:val="0"/>
      <w:divBdr>
        <w:top w:val="none" w:sz="0" w:space="0" w:color="auto"/>
        <w:left w:val="none" w:sz="0" w:space="0" w:color="auto"/>
        <w:bottom w:val="none" w:sz="0" w:space="0" w:color="auto"/>
        <w:right w:val="none" w:sz="0" w:space="0" w:color="auto"/>
      </w:divBdr>
      <w:divsChild>
        <w:div w:id="1948270242">
          <w:marLeft w:val="0"/>
          <w:marRight w:val="0"/>
          <w:marTop w:val="0"/>
          <w:marBottom w:val="0"/>
          <w:divBdr>
            <w:top w:val="none" w:sz="0" w:space="0" w:color="auto"/>
            <w:left w:val="none" w:sz="0" w:space="0" w:color="auto"/>
            <w:bottom w:val="none" w:sz="0" w:space="0" w:color="auto"/>
            <w:right w:val="none" w:sz="0" w:space="0" w:color="auto"/>
          </w:divBdr>
          <w:divsChild>
            <w:div w:id="1015380974">
              <w:marLeft w:val="0"/>
              <w:marRight w:val="0"/>
              <w:marTop w:val="0"/>
              <w:marBottom w:val="0"/>
              <w:divBdr>
                <w:top w:val="none" w:sz="0" w:space="0" w:color="auto"/>
                <w:left w:val="none" w:sz="0" w:space="0" w:color="auto"/>
                <w:bottom w:val="none" w:sz="0" w:space="0" w:color="auto"/>
                <w:right w:val="none" w:sz="0" w:space="0" w:color="auto"/>
              </w:divBdr>
              <w:divsChild>
                <w:div w:id="250741745">
                  <w:marLeft w:val="0"/>
                  <w:marRight w:val="0"/>
                  <w:marTop w:val="0"/>
                  <w:marBottom w:val="0"/>
                  <w:divBdr>
                    <w:top w:val="none" w:sz="0" w:space="0" w:color="auto"/>
                    <w:left w:val="none" w:sz="0" w:space="0" w:color="auto"/>
                    <w:bottom w:val="none" w:sz="0" w:space="0" w:color="auto"/>
                    <w:right w:val="none" w:sz="0" w:space="0" w:color="auto"/>
                  </w:divBdr>
                  <w:divsChild>
                    <w:div w:id="530804477">
                      <w:marLeft w:val="0"/>
                      <w:marRight w:val="0"/>
                      <w:marTop w:val="0"/>
                      <w:marBottom w:val="0"/>
                      <w:divBdr>
                        <w:top w:val="none" w:sz="0" w:space="0" w:color="auto"/>
                        <w:left w:val="none" w:sz="0" w:space="0" w:color="auto"/>
                        <w:bottom w:val="none" w:sz="0" w:space="0" w:color="auto"/>
                        <w:right w:val="none" w:sz="0" w:space="0" w:color="auto"/>
                      </w:divBdr>
                      <w:divsChild>
                        <w:div w:id="2010130519">
                          <w:marLeft w:val="0"/>
                          <w:marRight w:val="0"/>
                          <w:marTop w:val="0"/>
                          <w:marBottom w:val="0"/>
                          <w:divBdr>
                            <w:top w:val="none" w:sz="0" w:space="0" w:color="auto"/>
                            <w:left w:val="none" w:sz="0" w:space="0" w:color="auto"/>
                            <w:bottom w:val="none" w:sz="0" w:space="0" w:color="auto"/>
                            <w:right w:val="none" w:sz="0" w:space="0" w:color="auto"/>
                          </w:divBdr>
                          <w:divsChild>
                            <w:div w:id="1587612389">
                              <w:marLeft w:val="0"/>
                              <w:marRight w:val="0"/>
                              <w:marTop w:val="0"/>
                              <w:marBottom w:val="0"/>
                              <w:divBdr>
                                <w:top w:val="none" w:sz="0" w:space="0" w:color="auto"/>
                                <w:left w:val="none" w:sz="0" w:space="0" w:color="auto"/>
                                <w:bottom w:val="none" w:sz="0" w:space="0" w:color="auto"/>
                                <w:right w:val="none" w:sz="0" w:space="0" w:color="auto"/>
                              </w:divBdr>
                              <w:divsChild>
                                <w:div w:id="1259605689">
                                  <w:marLeft w:val="0"/>
                                  <w:marRight w:val="0"/>
                                  <w:marTop w:val="0"/>
                                  <w:marBottom w:val="0"/>
                                  <w:divBdr>
                                    <w:top w:val="none" w:sz="0" w:space="0" w:color="auto"/>
                                    <w:left w:val="none" w:sz="0" w:space="0" w:color="auto"/>
                                    <w:bottom w:val="none" w:sz="0" w:space="0" w:color="auto"/>
                                    <w:right w:val="none" w:sz="0" w:space="0" w:color="auto"/>
                                  </w:divBdr>
                                  <w:divsChild>
                                    <w:div w:id="94924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14475">
                      <w:marLeft w:val="0"/>
                      <w:marRight w:val="0"/>
                      <w:marTop w:val="0"/>
                      <w:marBottom w:val="0"/>
                      <w:divBdr>
                        <w:top w:val="none" w:sz="0" w:space="0" w:color="auto"/>
                        <w:left w:val="none" w:sz="0" w:space="0" w:color="auto"/>
                        <w:bottom w:val="none" w:sz="0" w:space="0" w:color="auto"/>
                        <w:right w:val="none" w:sz="0" w:space="0" w:color="auto"/>
                      </w:divBdr>
                      <w:divsChild>
                        <w:div w:id="23594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808718">
      <w:bodyDiv w:val="1"/>
      <w:marLeft w:val="0"/>
      <w:marRight w:val="0"/>
      <w:marTop w:val="0"/>
      <w:marBottom w:val="0"/>
      <w:divBdr>
        <w:top w:val="none" w:sz="0" w:space="0" w:color="auto"/>
        <w:left w:val="none" w:sz="0" w:space="0" w:color="auto"/>
        <w:bottom w:val="none" w:sz="0" w:space="0" w:color="auto"/>
        <w:right w:val="none" w:sz="0" w:space="0" w:color="auto"/>
      </w:divBdr>
    </w:div>
    <w:div w:id="1502238252">
      <w:bodyDiv w:val="1"/>
      <w:marLeft w:val="0"/>
      <w:marRight w:val="0"/>
      <w:marTop w:val="0"/>
      <w:marBottom w:val="0"/>
      <w:divBdr>
        <w:top w:val="none" w:sz="0" w:space="0" w:color="auto"/>
        <w:left w:val="none" w:sz="0" w:space="0" w:color="auto"/>
        <w:bottom w:val="none" w:sz="0" w:space="0" w:color="auto"/>
        <w:right w:val="none" w:sz="0" w:space="0" w:color="auto"/>
      </w:divBdr>
    </w:div>
    <w:div w:id="1576358409">
      <w:bodyDiv w:val="1"/>
      <w:marLeft w:val="0"/>
      <w:marRight w:val="0"/>
      <w:marTop w:val="0"/>
      <w:marBottom w:val="0"/>
      <w:divBdr>
        <w:top w:val="none" w:sz="0" w:space="0" w:color="auto"/>
        <w:left w:val="none" w:sz="0" w:space="0" w:color="auto"/>
        <w:bottom w:val="none" w:sz="0" w:space="0" w:color="auto"/>
        <w:right w:val="none" w:sz="0" w:space="0" w:color="auto"/>
      </w:divBdr>
    </w:div>
    <w:div w:id="1614558706">
      <w:bodyDiv w:val="1"/>
      <w:marLeft w:val="0"/>
      <w:marRight w:val="0"/>
      <w:marTop w:val="0"/>
      <w:marBottom w:val="0"/>
      <w:divBdr>
        <w:top w:val="none" w:sz="0" w:space="0" w:color="auto"/>
        <w:left w:val="none" w:sz="0" w:space="0" w:color="auto"/>
        <w:bottom w:val="none" w:sz="0" w:space="0" w:color="auto"/>
        <w:right w:val="none" w:sz="0" w:space="0" w:color="auto"/>
      </w:divBdr>
    </w:div>
    <w:div w:id="1624968017">
      <w:bodyDiv w:val="1"/>
      <w:marLeft w:val="0"/>
      <w:marRight w:val="0"/>
      <w:marTop w:val="0"/>
      <w:marBottom w:val="0"/>
      <w:divBdr>
        <w:top w:val="none" w:sz="0" w:space="0" w:color="auto"/>
        <w:left w:val="none" w:sz="0" w:space="0" w:color="auto"/>
        <w:bottom w:val="none" w:sz="0" w:space="0" w:color="auto"/>
        <w:right w:val="none" w:sz="0" w:space="0" w:color="auto"/>
      </w:divBdr>
    </w:div>
    <w:div w:id="1657609249">
      <w:bodyDiv w:val="1"/>
      <w:marLeft w:val="0"/>
      <w:marRight w:val="0"/>
      <w:marTop w:val="0"/>
      <w:marBottom w:val="0"/>
      <w:divBdr>
        <w:top w:val="none" w:sz="0" w:space="0" w:color="auto"/>
        <w:left w:val="none" w:sz="0" w:space="0" w:color="auto"/>
        <w:bottom w:val="none" w:sz="0" w:space="0" w:color="auto"/>
        <w:right w:val="none" w:sz="0" w:space="0" w:color="auto"/>
      </w:divBdr>
    </w:div>
    <w:div w:id="1704137401">
      <w:bodyDiv w:val="1"/>
      <w:marLeft w:val="0"/>
      <w:marRight w:val="0"/>
      <w:marTop w:val="0"/>
      <w:marBottom w:val="0"/>
      <w:divBdr>
        <w:top w:val="none" w:sz="0" w:space="0" w:color="auto"/>
        <w:left w:val="none" w:sz="0" w:space="0" w:color="auto"/>
        <w:bottom w:val="none" w:sz="0" w:space="0" w:color="auto"/>
        <w:right w:val="none" w:sz="0" w:space="0" w:color="auto"/>
      </w:divBdr>
    </w:div>
    <w:div w:id="1831751348">
      <w:bodyDiv w:val="1"/>
      <w:marLeft w:val="0"/>
      <w:marRight w:val="0"/>
      <w:marTop w:val="0"/>
      <w:marBottom w:val="0"/>
      <w:divBdr>
        <w:top w:val="none" w:sz="0" w:space="0" w:color="auto"/>
        <w:left w:val="none" w:sz="0" w:space="0" w:color="auto"/>
        <w:bottom w:val="none" w:sz="0" w:space="0" w:color="auto"/>
        <w:right w:val="none" w:sz="0" w:space="0" w:color="auto"/>
      </w:divBdr>
    </w:div>
    <w:div w:id="1887914470">
      <w:bodyDiv w:val="1"/>
      <w:marLeft w:val="0"/>
      <w:marRight w:val="0"/>
      <w:marTop w:val="0"/>
      <w:marBottom w:val="0"/>
      <w:divBdr>
        <w:top w:val="none" w:sz="0" w:space="0" w:color="auto"/>
        <w:left w:val="none" w:sz="0" w:space="0" w:color="auto"/>
        <w:bottom w:val="none" w:sz="0" w:space="0" w:color="auto"/>
        <w:right w:val="none" w:sz="0" w:space="0" w:color="auto"/>
      </w:divBdr>
    </w:div>
    <w:div w:id="2020109595">
      <w:bodyDiv w:val="1"/>
      <w:marLeft w:val="0"/>
      <w:marRight w:val="0"/>
      <w:marTop w:val="0"/>
      <w:marBottom w:val="0"/>
      <w:divBdr>
        <w:top w:val="none" w:sz="0" w:space="0" w:color="auto"/>
        <w:left w:val="none" w:sz="0" w:space="0" w:color="auto"/>
        <w:bottom w:val="none" w:sz="0" w:space="0" w:color="auto"/>
        <w:right w:val="none" w:sz="0" w:space="0" w:color="auto"/>
      </w:divBdr>
    </w:div>
    <w:div w:id="2104837195">
      <w:bodyDiv w:val="1"/>
      <w:marLeft w:val="0"/>
      <w:marRight w:val="0"/>
      <w:marTop w:val="0"/>
      <w:marBottom w:val="0"/>
      <w:divBdr>
        <w:top w:val="none" w:sz="0" w:space="0" w:color="auto"/>
        <w:left w:val="none" w:sz="0" w:space="0" w:color="auto"/>
        <w:bottom w:val="none" w:sz="0" w:space="0" w:color="auto"/>
        <w:right w:val="none" w:sz="0" w:space="0" w:color="auto"/>
      </w:divBdr>
    </w:div>
    <w:div w:id="212966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6B414-55A9-455A-B03A-73E8048FF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19810</Words>
  <Characters>112918</Characters>
  <Application>Microsoft Office Word</Application>
  <DocSecurity>0</DocSecurity>
  <Lines>940</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dc:creator>
  <cp:lastModifiedBy>novin</cp:lastModifiedBy>
  <cp:revision>3</cp:revision>
  <dcterms:created xsi:type="dcterms:W3CDTF">2025-09-29T13:27:00Z</dcterms:created>
  <dcterms:modified xsi:type="dcterms:W3CDTF">2025-09-29T13:28:00Z</dcterms:modified>
</cp:coreProperties>
</file>