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A1115" w14:textId="77777777" w:rsidR="004B4997" w:rsidRPr="00BD3A38" w:rsidRDefault="004B4997" w:rsidP="00C2358C">
      <w:pPr>
        <w:widowControl w:val="0"/>
        <w:spacing w:after="0" w:line="240" w:lineRule="auto"/>
        <w:rPr>
          <w:rFonts w:ascii="Times New Roman" w:hAnsi="Times New Roman" w:cs="Times New Roman"/>
          <w:b/>
          <w:bCs/>
          <w:color w:val="000000" w:themeColor="text1"/>
        </w:rPr>
      </w:pPr>
      <w:r w:rsidRPr="00BD3A38">
        <w:rPr>
          <w:rFonts w:ascii="Times New Roman" w:hAnsi="Times New Roman" w:cs="Times New Roman"/>
          <w:b/>
          <w:bCs/>
          <w:color w:val="000000" w:themeColor="text1"/>
        </w:rPr>
        <w:t xml:space="preserve">Article type: </w:t>
      </w:r>
      <w:r w:rsidRPr="008E2801">
        <w:rPr>
          <w:rFonts w:ascii="Times New Roman" w:hAnsi="Times New Roman" w:cs="Times New Roman"/>
          <w:b/>
          <w:bCs/>
          <w:color w:val="C00000"/>
        </w:rPr>
        <w:t>Full Length/</w:t>
      </w:r>
      <w:r>
        <w:rPr>
          <w:rFonts w:ascii="Times New Roman" w:hAnsi="Times New Roman" w:cs="Times New Roman"/>
          <w:b/>
          <w:bCs/>
          <w:color w:val="C00000"/>
        </w:rPr>
        <w:t>Original</w:t>
      </w:r>
      <w:r w:rsidRPr="008E2801">
        <w:rPr>
          <w:rFonts w:ascii="Times New Roman" w:hAnsi="Times New Roman" w:cs="Times New Roman"/>
          <w:b/>
          <w:bCs/>
          <w:color w:val="C00000"/>
        </w:rPr>
        <w:t xml:space="preserve"> Article</w:t>
      </w:r>
    </w:p>
    <w:p w14:paraId="33C1A04E" w14:textId="77777777" w:rsidR="004B4997" w:rsidRDefault="004B4997" w:rsidP="00C2358C">
      <w:pPr>
        <w:pStyle w:val="whitespace-normal"/>
        <w:jc w:val="both"/>
        <w:rPr>
          <w:rFonts w:asciiTheme="majorBidi" w:hAnsiTheme="majorBidi" w:cstheme="majorBidi"/>
          <w:b/>
          <w:bCs/>
          <w:lang w:bidi="fa-IR"/>
        </w:rPr>
      </w:pPr>
    </w:p>
    <w:p w14:paraId="60BC7231" w14:textId="106CA9FA" w:rsidR="00ED6766" w:rsidRPr="004B4997" w:rsidRDefault="00C063E3" w:rsidP="00C2358C">
      <w:pPr>
        <w:pStyle w:val="whitespace-normal"/>
        <w:jc w:val="both"/>
        <w:rPr>
          <w:rFonts w:asciiTheme="majorBidi" w:hAnsiTheme="majorBidi" w:cstheme="majorBidi"/>
          <w:b/>
          <w:bCs/>
          <w:sz w:val="32"/>
          <w:szCs w:val="32"/>
          <w:lang w:bidi="fa-IR"/>
        </w:rPr>
      </w:pPr>
      <w:r w:rsidRPr="004B4997">
        <w:rPr>
          <w:rFonts w:asciiTheme="majorBidi" w:hAnsiTheme="majorBidi" w:cstheme="majorBidi"/>
          <w:b/>
          <w:bCs/>
          <w:sz w:val="32"/>
          <w:szCs w:val="32"/>
          <w:lang w:bidi="fa-IR"/>
        </w:rPr>
        <w:t xml:space="preserve">Combined Role of Growth Differentiation Factor 15 and Oxidative Stress Markers in Hemoglobin H Disease: A Genotype-Based Insight </w:t>
      </w:r>
    </w:p>
    <w:p w14:paraId="1525F4EC" w14:textId="77777777" w:rsidR="004B4997" w:rsidRPr="004B4997" w:rsidRDefault="004B4997" w:rsidP="00C2358C">
      <w:pPr>
        <w:pStyle w:val="whitespace-normal"/>
        <w:jc w:val="both"/>
        <w:rPr>
          <w:rFonts w:asciiTheme="majorBidi" w:hAnsiTheme="majorBidi" w:cstheme="majorBidi"/>
          <w:sz w:val="20"/>
          <w:szCs w:val="20"/>
        </w:rPr>
      </w:pPr>
      <w:r w:rsidRPr="004B4997">
        <w:rPr>
          <w:rFonts w:asciiTheme="majorBidi" w:hAnsiTheme="majorBidi" w:cstheme="majorBidi"/>
          <w:b/>
          <w:bCs/>
          <w:sz w:val="20"/>
          <w:szCs w:val="20"/>
        </w:rPr>
        <w:t>Running title:</w:t>
      </w:r>
      <w:r w:rsidRPr="004B4997">
        <w:rPr>
          <w:rFonts w:asciiTheme="majorBidi" w:hAnsiTheme="majorBidi" w:cstheme="majorBidi"/>
          <w:sz w:val="20"/>
          <w:szCs w:val="20"/>
        </w:rPr>
        <w:t xml:space="preserve"> GDF-15 and Oxidative Stress in Hb H Disease</w:t>
      </w:r>
    </w:p>
    <w:p w14:paraId="562D6524" w14:textId="77777777" w:rsidR="004B4997" w:rsidRPr="000F1953" w:rsidRDefault="004B4997" w:rsidP="00C2358C">
      <w:pPr>
        <w:pStyle w:val="whitespace-normal"/>
        <w:jc w:val="both"/>
        <w:rPr>
          <w:rFonts w:asciiTheme="majorBidi" w:hAnsiTheme="majorBidi" w:cstheme="majorBidi"/>
        </w:rPr>
      </w:pPr>
    </w:p>
    <w:p w14:paraId="51E9991A" w14:textId="77777777" w:rsidR="00FD3117" w:rsidRDefault="00FD3117" w:rsidP="00FD3117">
      <w:pPr>
        <w:spacing w:after="0" w:line="240" w:lineRule="auto"/>
        <w:jc w:val="center"/>
        <w:rPr>
          <w:rFonts w:asciiTheme="majorBidi" w:hAnsiTheme="majorBidi" w:cstheme="majorBidi"/>
          <w:b/>
          <w:bCs/>
          <w:color w:val="000000" w:themeColor="text1"/>
          <w:sz w:val="26"/>
          <w:szCs w:val="26"/>
        </w:rPr>
      </w:pPr>
      <w:r w:rsidRPr="002F02F8">
        <w:rPr>
          <w:rFonts w:asciiTheme="majorBidi" w:hAnsiTheme="majorBidi" w:cstheme="majorBidi"/>
          <w:b/>
          <w:bCs/>
          <w:color w:val="000000" w:themeColor="text1"/>
          <w:sz w:val="26"/>
          <w:szCs w:val="26"/>
        </w:rPr>
        <w:t xml:space="preserve">Declarations </w:t>
      </w:r>
    </w:p>
    <w:p w14:paraId="469891C0" w14:textId="77777777" w:rsidR="00FD3117" w:rsidRDefault="00FD3117" w:rsidP="00FD3117">
      <w:pPr>
        <w:tabs>
          <w:tab w:val="left" w:pos="2246"/>
        </w:tabs>
        <w:spacing w:after="0"/>
        <w:jc w:val="both"/>
        <w:rPr>
          <w:rFonts w:asciiTheme="majorBidi" w:hAnsiTheme="majorBidi" w:cstheme="majorBidi"/>
          <w:b/>
          <w:bCs/>
          <w:color w:val="000000" w:themeColor="text1"/>
          <w:sz w:val="24"/>
          <w:szCs w:val="24"/>
        </w:rPr>
      </w:pPr>
      <w:r w:rsidRPr="00F01112">
        <w:rPr>
          <w:rFonts w:asciiTheme="majorBidi" w:hAnsiTheme="majorBidi" w:cstheme="majorBidi"/>
          <w:b/>
          <w:bCs/>
          <w:color w:val="000000" w:themeColor="text1"/>
          <w:sz w:val="24"/>
          <w:szCs w:val="24"/>
        </w:rPr>
        <w:t xml:space="preserve">Acknowledgments </w:t>
      </w:r>
    </w:p>
    <w:p w14:paraId="0E09C6A4" w14:textId="71B7AE08" w:rsidR="00FD3117" w:rsidRDefault="00FD3117" w:rsidP="00C2358C">
      <w:pPr>
        <w:spacing w:before="100" w:beforeAutospacing="1" w:after="100" w:afterAutospacing="1" w:line="240" w:lineRule="auto"/>
        <w:jc w:val="both"/>
        <w:rPr>
          <w:rFonts w:asciiTheme="majorBidi" w:eastAsia="Times New Roman" w:hAnsiTheme="majorBidi" w:cstheme="majorBidi"/>
          <w:sz w:val="24"/>
          <w:szCs w:val="24"/>
        </w:rPr>
      </w:pPr>
      <w:r w:rsidRPr="00FD3117">
        <w:rPr>
          <w:rFonts w:asciiTheme="majorBidi" w:eastAsia="Times New Roman" w:hAnsiTheme="majorBidi" w:cstheme="majorBidi"/>
          <w:sz w:val="24"/>
          <w:szCs w:val="24"/>
        </w:rPr>
        <w:t xml:space="preserve">Not applicable </w:t>
      </w:r>
    </w:p>
    <w:p w14:paraId="3E683264" w14:textId="4C1214AA" w:rsidR="00FD3117" w:rsidRPr="00FD3117" w:rsidRDefault="00FD3117" w:rsidP="001D4013">
      <w:pPr>
        <w:spacing w:line="240" w:lineRule="auto"/>
        <w:rPr>
          <w:rStyle w:val="jlqj4b"/>
          <w:rFonts w:asciiTheme="majorBidi" w:hAnsiTheme="majorBidi" w:cstheme="majorBidi"/>
          <w:b/>
          <w:bCs/>
          <w:sz w:val="24"/>
          <w:szCs w:val="28"/>
        </w:rPr>
      </w:pPr>
      <w:r w:rsidRPr="00FD3117">
        <w:rPr>
          <w:rStyle w:val="jlqj4b"/>
          <w:rFonts w:asciiTheme="majorBidi" w:hAnsiTheme="majorBidi" w:cstheme="majorBidi"/>
          <w:b/>
          <w:bCs/>
          <w:sz w:val="24"/>
          <w:szCs w:val="28"/>
        </w:rPr>
        <w:t xml:space="preserve">Ethical Approval </w:t>
      </w:r>
    </w:p>
    <w:p w14:paraId="2E9C7001" w14:textId="6308B950" w:rsidR="00FD3117" w:rsidRDefault="00FD3117" w:rsidP="001D4013">
      <w:pPr>
        <w:spacing w:before="100" w:beforeAutospacing="1" w:after="100" w:afterAutospacing="1" w:line="240" w:lineRule="auto"/>
        <w:jc w:val="both"/>
        <w:rPr>
          <w:rFonts w:asciiTheme="majorBidi" w:eastAsia="Times New Roman" w:hAnsiTheme="majorBidi" w:cstheme="majorBidi"/>
          <w:sz w:val="21"/>
          <w:szCs w:val="21"/>
        </w:rPr>
      </w:pPr>
      <w:r w:rsidRPr="00FD3117">
        <w:rPr>
          <w:rFonts w:asciiTheme="majorBidi" w:eastAsia="Times New Roman" w:hAnsiTheme="majorBidi" w:cstheme="majorBidi"/>
          <w:sz w:val="21"/>
          <w:szCs w:val="21"/>
        </w:rPr>
        <w:t xml:space="preserve">The study protocol complied with the ethical standards of the 1964 Declaration of Helsinki and was approved by the Ethics Committee of the Pasteur Institute of Iran (IR.PII.REC.1403.027). </w:t>
      </w:r>
    </w:p>
    <w:p w14:paraId="400B9932" w14:textId="77777777" w:rsidR="001D4013" w:rsidRDefault="001D4013" w:rsidP="001D4013">
      <w:pPr>
        <w:spacing w:after="0" w:line="240" w:lineRule="auto"/>
        <w:contextualSpacing/>
        <w:rPr>
          <w:rFonts w:asciiTheme="majorBidi" w:hAnsiTheme="majorBidi" w:cstheme="majorBidi"/>
          <w:b/>
          <w:bCs/>
          <w:color w:val="000000" w:themeColor="text1"/>
          <w:sz w:val="24"/>
          <w:szCs w:val="24"/>
        </w:rPr>
      </w:pPr>
      <w:r w:rsidRPr="00DF5231">
        <w:rPr>
          <w:rFonts w:asciiTheme="majorBidi" w:hAnsiTheme="majorBidi" w:cstheme="majorBidi"/>
          <w:b/>
          <w:bCs/>
          <w:color w:val="000000" w:themeColor="text1"/>
          <w:sz w:val="24"/>
          <w:szCs w:val="24"/>
        </w:rPr>
        <w:t>Consent to participate</w:t>
      </w:r>
    </w:p>
    <w:p w14:paraId="188ABC0B" w14:textId="6B15A229" w:rsidR="001D4013" w:rsidRDefault="001D4013" w:rsidP="001D4013">
      <w:pPr>
        <w:spacing w:before="100" w:beforeAutospacing="1" w:after="100" w:afterAutospacing="1" w:line="240" w:lineRule="auto"/>
        <w:jc w:val="both"/>
        <w:rPr>
          <w:rFonts w:asciiTheme="majorBidi" w:eastAsia="Times New Roman" w:hAnsiTheme="majorBidi" w:cstheme="majorBidi"/>
          <w:sz w:val="21"/>
          <w:szCs w:val="21"/>
        </w:rPr>
      </w:pPr>
      <w:r w:rsidRPr="00FD3117">
        <w:rPr>
          <w:rFonts w:asciiTheme="majorBidi" w:eastAsia="Times New Roman" w:hAnsiTheme="majorBidi" w:cstheme="majorBidi"/>
          <w:sz w:val="21"/>
          <w:szCs w:val="21"/>
        </w:rPr>
        <w:t>Written informed consent was obtained from all participants or their legal guardians</w:t>
      </w:r>
      <w:r>
        <w:rPr>
          <w:rFonts w:asciiTheme="majorBidi" w:eastAsia="Times New Roman" w:hAnsiTheme="majorBidi" w:cstheme="majorBidi"/>
          <w:sz w:val="21"/>
          <w:szCs w:val="21"/>
        </w:rPr>
        <w:t>.</w:t>
      </w:r>
    </w:p>
    <w:p w14:paraId="769C29EB" w14:textId="77777777" w:rsidR="00CE79C2" w:rsidRDefault="00CE79C2" w:rsidP="00CE79C2">
      <w:pPr>
        <w:spacing w:after="0" w:line="240" w:lineRule="auto"/>
        <w:contextualSpacing/>
        <w:jc w:val="both"/>
        <w:rPr>
          <w:rFonts w:asciiTheme="majorBidi" w:hAnsiTheme="majorBidi" w:cstheme="majorBidi"/>
          <w:b/>
          <w:bCs/>
          <w:color w:val="000000" w:themeColor="text1"/>
          <w:sz w:val="24"/>
          <w:szCs w:val="24"/>
        </w:rPr>
      </w:pPr>
      <w:r w:rsidRPr="0016788B">
        <w:rPr>
          <w:rFonts w:asciiTheme="majorBidi" w:hAnsiTheme="majorBidi" w:cstheme="majorBidi"/>
          <w:b/>
          <w:bCs/>
          <w:color w:val="000000" w:themeColor="text1"/>
          <w:sz w:val="24"/>
          <w:szCs w:val="24"/>
        </w:rPr>
        <w:t>Consent for publication</w:t>
      </w:r>
    </w:p>
    <w:p w14:paraId="4FF05124" w14:textId="148300E6" w:rsidR="00FD3117" w:rsidRDefault="00CE79C2" w:rsidP="00CE79C2">
      <w:pPr>
        <w:spacing w:before="100" w:beforeAutospacing="1" w:after="100" w:afterAutospacing="1" w:line="240" w:lineRule="auto"/>
        <w:jc w:val="both"/>
        <w:rPr>
          <w:rFonts w:ascii="Times New Roman" w:hAnsi="Times New Roman" w:cs="Times New Roman"/>
          <w:bCs/>
          <w:color w:val="000000" w:themeColor="text1"/>
          <w:sz w:val="21"/>
          <w:szCs w:val="21"/>
        </w:rPr>
      </w:pPr>
      <w:r w:rsidRPr="0016788B">
        <w:rPr>
          <w:rFonts w:ascii="Times New Roman" w:hAnsi="Times New Roman" w:cs="Times New Roman"/>
          <w:bCs/>
          <w:color w:val="000000" w:themeColor="text1"/>
          <w:sz w:val="21"/>
          <w:szCs w:val="21"/>
        </w:rPr>
        <w:t>All authors reviewed the results and approved</w:t>
      </w:r>
      <w:r>
        <w:rPr>
          <w:rFonts w:ascii="Times New Roman" w:hAnsi="Times New Roman" w:cs="Times New Roman"/>
          <w:bCs/>
          <w:color w:val="000000" w:themeColor="text1"/>
          <w:sz w:val="21"/>
          <w:szCs w:val="21"/>
        </w:rPr>
        <w:t xml:space="preserve"> </w:t>
      </w:r>
      <w:r w:rsidRPr="0016788B">
        <w:rPr>
          <w:rFonts w:ascii="Times New Roman" w:hAnsi="Times New Roman" w:cs="Times New Roman"/>
          <w:bCs/>
          <w:color w:val="000000" w:themeColor="text1"/>
          <w:sz w:val="21"/>
          <w:szCs w:val="21"/>
        </w:rPr>
        <w:t>the final version of the manuscript</w:t>
      </w:r>
      <w:r>
        <w:rPr>
          <w:rFonts w:ascii="Times New Roman" w:hAnsi="Times New Roman" w:cs="Times New Roman"/>
          <w:bCs/>
          <w:color w:val="000000" w:themeColor="text1"/>
          <w:sz w:val="21"/>
          <w:szCs w:val="21"/>
        </w:rPr>
        <w:t>.</w:t>
      </w:r>
    </w:p>
    <w:p w14:paraId="3A1A970A" w14:textId="77777777" w:rsidR="009203FA" w:rsidRPr="000F1953" w:rsidRDefault="009203FA" w:rsidP="009203FA">
      <w:pPr>
        <w:spacing w:line="240" w:lineRule="auto"/>
        <w:rPr>
          <w:rFonts w:asciiTheme="majorBidi" w:hAnsiTheme="majorBidi" w:cstheme="majorBidi"/>
          <w:b/>
          <w:bCs/>
          <w:sz w:val="24"/>
          <w:szCs w:val="24"/>
          <w:shd w:val="clear" w:color="auto" w:fill="FFFFFF"/>
        </w:rPr>
      </w:pPr>
      <w:r w:rsidRPr="000F1953">
        <w:rPr>
          <w:rFonts w:asciiTheme="majorBidi" w:hAnsiTheme="majorBidi" w:cstheme="majorBidi"/>
          <w:b/>
          <w:bCs/>
          <w:sz w:val="24"/>
          <w:szCs w:val="24"/>
          <w:shd w:val="clear" w:color="auto" w:fill="FFFFFF"/>
        </w:rPr>
        <w:t>Author contributions</w:t>
      </w:r>
    </w:p>
    <w:p w14:paraId="0D1DE439" w14:textId="6FE47B19" w:rsidR="00387D77" w:rsidRDefault="00387D77" w:rsidP="00387D77">
      <w:pPr>
        <w:spacing w:line="240" w:lineRule="auto"/>
        <w:contextualSpacing/>
        <w:rPr>
          <w:rFonts w:asciiTheme="majorBidi" w:hAnsiTheme="majorBidi" w:cstheme="majorBidi"/>
          <w:b/>
          <w:bCs/>
          <w:color w:val="000000" w:themeColor="text1"/>
          <w:sz w:val="24"/>
          <w:szCs w:val="24"/>
        </w:rPr>
      </w:pPr>
      <w:r w:rsidRPr="00F01112">
        <w:rPr>
          <w:rFonts w:asciiTheme="majorBidi" w:hAnsiTheme="majorBidi" w:cstheme="majorBidi"/>
          <w:b/>
          <w:bCs/>
          <w:color w:val="000000" w:themeColor="text1"/>
          <w:sz w:val="24"/>
          <w:szCs w:val="24"/>
        </w:rPr>
        <w:t xml:space="preserve">Data availability </w:t>
      </w:r>
    </w:p>
    <w:p w14:paraId="1A506EE8" w14:textId="77777777" w:rsidR="00387D77" w:rsidRDefault="00387D77" w:rsidP="00387D77">
      <w:pPr>
        <w:spacing w:before="100" w:beforeAutospacing="1" w:after="100" w:afterAutospacing="1" w:line="240" w:lineRule="auto"/>
        <w:jc w:val="both"/>
        <w:rPr>
          <w:rFonts w:asciiTheme="majorBidi" w:eastAsia="Times New Roman" w:hAnsiTheme="majorBidi" w:cstheme="majorBidi"/>
          <w:sz w:val="24"/>
          <w:szCs w:val="24"/>
        </w:rPr>
      </w:pPr>
      <w:r w:rsidRPr="00FD3117">
        <w:rPr>
          <w:rFonts w:asciiTheme="majorBidi" w:eastAsia="Times New Roman" w:hAnsiTheme="majorBidi" w:cstheme="majorBidi"/>
          <w:sz w:val="24"/>
          <w:szCs w:val="24"/>
        </w:rPr>
        <w:t xml:space="preserve">Not applicable </w:t>
      </w:r>
    </w:p>
    <w:p w14:paraId="14C54AAA" w14:textId="77777777" w:rsidR="00614E1F" w:rsidRDefault="00614E1F" w:rsidP="00614E1F">
      <w:pPr>
        <w:spacing w:after="0" w:line="240" w:lineRule="auto"/>
        <w:contextualSpacing/>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Competing interests </w:t>
      </w:r>
    </w:p>
    <w:p w14:paraId="78383944" w14:textId="77777777" w:rsidR="00614E1F" w:rsidRPr="000F1953" w:rsidRDefault="00614E1F" w:rsidP="00614E1F">
      <w:pPr>
        <w:spacing w:line="240" w:lineRule="auto"/>
        <w:rPr>
          <w:rStyle w:val="jlqj4b"/>
          <w:rFonts w:asciiTheme="majorBidi" w:hAnsiTheme="majorBidi" w:cstheme="majorBidi"/>
          <w:szCs w:val="24"/>
          <w:lang w:val="en"/>
        </w:rPr>
      </w:pPr>
      <w:r w:rsidRPr="000F1953">
        <w:rPr>
          <w:rStyle w:val="tlid-translation"/>
          <w:rFonts w:asciiTheme="majorBidi" w:hAnsiTheme="majorBidi" w:cstheme="majorBidi"/>
          <w:szCs w:val="24"/>
          <w:lang w:val="en"/>
        </w:rPr>
        <w:t>The authors declare no conflicts of interest relevant to this article.</w:t>
      </w:r>
    </w:p>
    <w:p w14:paraId="1FF9D054" w14:textId="77777777" w:rsidR="00614E1F" w:rsidRPr="000F1953" w:rsidRDefault="00614E1F" w:rsidP="00614E1F">
      <w:pPr>
        <w:spacing w:line="240" w:lineRule="auto"/>
        <w:rPr>
          <w:rStyle w:val="jlqj4b"/>
          <w:rFonts w:asciiTheme="majorBidi" w:hAnsiTheme="majorBidi" w:cstheme="majorBidi"/>
          <w:b/>
          <w:bCs/>
          <w:szCs w:val="24"/>
        </w:rPr>
      </w:pPr>
      <w:r w:rsidRPr="000F1953">
        <w:rPr>
          <w:rStyle w:val="jlqj4b"/>
          <w:rFonts w:asciiTheme="majorBidi" w:hAnsiTheme="majorBidi" w:cstheme="majorBidi"/>
          <w:b/>
          <w:bCs/>
          <w:szCs w:val="24"/>
        </w:rPr>
        <w:t>Funding</w:t>
      </w:r>
    </w:p>
    <w:p w14:paraId="4DB9EC46" w14:textId="77777777" w:rsidR="00614E1F" w:rsidRPr="000F1953" w:rsidRDefault="00614E1F" w:rsidP="00614E1F">
      <w:pPr>
        <w:spacing w:line="240" w:lineRule="auto"/>
        <w:rPr>
          <w:rStyle w:val="jlqj4b"/>
          <w:rFonts w:asciiTheme="majorBidi" w:hAnsiTheme="majorBidi" w:cstheme="majorBidi"/>
          <w:szCs w:val="24"/>
          <w:lang w:val="en"/>
        </w:rPr>
      </w:pPr>
      <w:r w:rsidRPr="000F1953">
        <w:rPr>
          <w:rStyle w:val="tlid-translation"/>
          <w:rFonts w:asciiTheme="majorBidi" w:hAnsiTheme="majorBidi" w:cstheme="majorBidi"/>
          <w:szCs w:val="24"/>
          <w:lang w:val="en"/>
        </w:rPr>
        <w:t>No financial support was provided relevant to this article.</w:t>
      </w:r>
    </w:p>
    <w:p w14:paraId="2B534ED1" w14:textId="2792C15F" w:rsidR="00387D77" w:rsidRPr="00F01112" w:rsidRDefault="00EF3E1C" w:rsidP="00EF3E1C">
      <w:pPr>
        <w:spacing w:line="240" w:lineRule="auto"/>
        <w:contextualSpacing/>
        <w:rPr>
          <w:rFonts w:asciiTheme="majorBidi" w:hAnsiTheme="majorBidi" w:cstheme="majorBidi"/>
          <w:b/>
          <w:bCs/>
          <w:color w:val="000000" w:themeColor="text1"/>
          <w:sz w:val="24"/>
          <w:szCs w:val="24"/>
        </w:rPr>
      </w:pPr>
      <w:r w:rsidRPr="008E2801">
        <w:rPr>
          <w:rFonts w:ascii="Times New Roman" w:hAnsi="Times New Roman" w:cs="Times New Roman"/>
          <w:b/>
          <w:bCs/>
          <w:color w:val="000000" w:themeColor="text1"/>
        </w:rPr>
        <w:t>List of Abbreviations</w:t>
      </w:r>
    </w:p>
    <w:p w14:paraId="3CE37082" w14:textId="338E7934" w:rsidR="0087181E" w:rsidRPr="0087181E" w:rsidRDefault="0087181E" w:rsidP="00F842D8">
      <w:pPr>
        <w:rPr>
          <w:rFonts w:asciiTheme="majorBidi" w:hAnsiTheme="majorBidi" w:cstheme="majorBidi"/>
        </w:rPr>
      </w:pPr>
      <w:r w:rsidRPr="0087181E">
        <w:rPr>
          <w:rFonts w:asciiTheme="majorBidi" w:hAnsiTheme="majorBidi" w:cstheme="majorBidi"/>
        </w:rPr>
        <w:t>CRP</w:t>
      </w:r>
      <w:r w:rsidR="00F842D8">
        <w:rPr>
          <w:rFonts w:asciiTheme="majorBidi" w:hAnsiTheme="majorBidi" w:cstheme="majorBidi"/>
        </w:rPr>
        <w:t>:</w:t>
      </w:r>
      <w:r w:rsidRPr="0087181E">
        <w:rPr>
          <w:rFonts w:asciiTheme="majorBidi" w:hAnsiTheme="majorBidi" w:cstheme="majorBidi"/>
        </w:rPr>
        <w:t xml:space="preserve"> C-reactive protein</w:t>
      </w:r>
    </w:p>
    <w:p w14:paraId="7C600CEE" w14:textId="2D470359" w:rsidR="0087181E" w:rsidRPr="0087181E" w:rsidRDefault="0087181E" w:rsidP="00F842D8">
      <w:pPr>
        <w:rPr>
          <w:rFonts w:asciiTheme="majorBidi" w:hAnsiTheme="majorBidi" w:cstheme="majorBidi"/>
        </w:rPr>
      </w:pPr>
      <w:r w:rsidRPr="0087181E">
        <w:rPr>
          <w:rFonts w:asciiTheme="majorBidi" w:hAnsiTheme="majorBidi" w:cstheme="majorBidi"/>
        </w:rPr>
        <w:t xml:space="preserve"> D</w:t>
      </w:r>
      <w:r w:rsidR="00F842D8">
        <w:rPr>
          <w:rFonts w:asciiTheme="majorBidi" w:hAnsiTheme="majorBidi" w:cstheme="majorBidi"/>
        </w:rPr>
        <w:t>:</w:t>
      </w:r>
      <w:r w:rsidRPr="0087181E">
        <w:rPr>
          <w:rFonts w:asciiTheme="majorBidi" w:hAnsiTheme="majorBidi" w:cstheme="majorBidi"/>
        </w:rPr>
        <w:t xml:space="preserve"> Deletional mutation</w:t>
      </w:r>
    </w:p>
    <w:p w14:paraId="0BDD0146" w14:textId="33882D46" w:rsidR="0087181E" w:rsidRPr="0087181E" w:rsidRDefault="0087181E" w:rsidP="00F842D8">
      <w:pPr>
        <w:rPr>
          <w:rFonts w:asciiTheme="majorBidi" w:hAnsiTheme="majorBidi" w:cstheme="majorBidi"/>
        </w:rPr>
      </w:pPr>
      <w:r w:rsidRPr="0087181E">
        <w:rPr>
          <w:rFonts w:asciiTheme="majorBidi" w:hAnsiTheme="majorBidi" w:cstheme="majorBidi"/>
        </w:rPr>
        <w:t xml:space="preserve"> GDF-15</w:t>
      </w:r>
      <w:r w:rsidR="00F842D8">
        <w:rPr>
          <w:rFonts w:asciiTheme="majorBidi" w:hAnsiTheme="majorBidi" w:cstheme="majorBidi"/>
        </w:rPr>
        <w:t>:</w:t>
      </w:r>
      <w:r w:rsidRPr="0087181E">
        <w:rPr>
          <w:rFonts w:asciiTheme="majorBidi" w:hAnsiTheme="majorBidi" w:cstheme="majorBidi"/>
        </w:rPr>
        <w:t xml:space="preserve"> Growth Differentiation Factor 15</w:t>
      </w:r>
    </w:p>
    <w:p w14:paraId="388682D1" w14:textId="7444C2BF" w:rsidR="0087181E" w:rsidRPr="0087181E" w:rsidRDefault="0087181E" w:rsidP="00F842D8">
      <w:pPr>
        <w:rPr>
          <w:rFonts w:asciiTheme="majorBidi" w:hAnsiTheme="majorBidi" w:cstheme="majorBidi"/>
        </w:rPr>
      </w:pPr>
      <w:r w:rsidRPr="0087181E">
        <w:rPr>
          <w:rFonts w:asciiTheme="majorBidi" w:hAnsiTheme="majorBidi" w:cstheme="majorBidi"/>
        </w:rPr>
        <w:t xml:space="preserve"> Hb H</w:t>
      </w:r>
      <w:r w:rsidR="00F842D8">
        <w:rPr>
          <w:rFonts w:asciiTheme="majorBidi" w:hAnsiTheme="majorBidi" w:cstheme="majorBidi"/>
        </w:rPr>
        <w:t>:</w:t>
      </w:r>
      <w:r w:rsidRPr="0087181E">
        <w:rPr>
          <w:rFonts w:asciiTheme="majorBidi" w:hAnsiTheme="majorBidi" w:cstheme="majorBidi"/>
        </w:rPr>
        <w:t xml:space="preserve"> Hemoglobin H</w:t>
      </w:r>
    </w:p>
    <w:p w14:paraId="1B556219" w14:textId="75C48311" w:rsidR="0087181E" w:rsidRPr="0087181E" w:rsidRDefault="0087181E" w:rsidP="00F842D8">
      <w:pPr>
        <w:rPr>
          <w:rFonts w:asciiTheme="majorBidi" w:hAnsiTheme="majorBidi" w:cstheme="majorBidi"/>
        </w:rPr>
      </w:pPr>
      <w:r w:rsidRPr="0087181E">
        <w:rPr>
          <w:rFonts w:asciiTheme="majorBidi" w:hAnsiTheme="majorBidi" w:cstheme="majorBidi"/>
        </w:rPr>
        <w:lastRenderedPageBreak/>
        <w:t xml:space="preserve"> Hb F</w:t>
      </w:r>
      <w:r w:rsidR="00F842D8">
        <w:rPr>
          <w:rFonts w:asciiTheme="majorBidi" w:hAnsiTheme="majorBidi" w:cstheme="majorBidi"/>
        </w:rPr>
        <w:t>:</w:t>
      </w:r>
      <w:r w:rsidRPr="0087181E">
        <w:rPr>
          <w:rFonts w:asciiTheme="majorBidi" w:hAnsiTheme="majorBidi" w:cstheme="majorBidi"/>
        </w:rPr>
        <w:t xml:space="preserve"> Fetal hemoglobin</w:t>
      </w:r>
    </w:p>
    <w:p w14:paraId="35A10836" w14:textId="21C680F4" w:rsidR="0087181E" w:rsidRPr="0087181E" w:rsidRDefault="0087181E" w:rsidP="00F842D8">
      <w:pPr>
        <w:rPr>
          <w:rFonts w:asciiTheme="majorBidi" w:hAnsiTheme="majorBidi" w:cstheme="majorBidi"/>
        </w:rPr>
      </w:pPr>
      <w:r w:rsidRPr="0087181E">
        <w:rPr>
          <w:rFonts w:asciiTheme="majorBidi" w:hAnsiTheme="majorBidi" w:cstheme="majorBidi"/>
        </w:rPr>
        <w:t xml:space="preserve"> HbA</w:t>
      </w:r>
      <w:r w:rsidRPr="0087181E">
        <w:rPr>
          <w:rFonts w:ascii="Cambria Math" w:hAnsi="Cambria Math" w:cs="Cambria Math"/>
        </w:rPr>
        <w:t>₂</w:t>
      </w:r>
      <w:r w:rsidR="00F842D8">
        <w:rPr>
          <w:rFonts w:asciiTheme="majorBidi" w:hAnsiTheme="majorBidi" w:cstheme="majorBidi"/>
        </w:rPr>
        <w:t>:</w:t>
      </w:r>
      <w:r w:rsidRPr="0087181E">
        <w:rPr>
          <w:rFonts w:asciiTheme="majorBidi" w:hAnsiTheme="majorBidi" w:cstheme="majorBidi"/>
        </w:rPr>
        <w:t xml:space="preserve"> Hemoglobin A</w:t>
      </w:r>
      <w:r w:rsidRPr="0087181E">
        <w:rPr>
          <w:rFonts w:ascii="Cambria Math" w:hAnsi="Cambria Math" w:cs="Cambria Math"/>
        </w:rPr>
        <w:t>₂</w:t>
      </w:r>
    </w:p>
    <w:p w14:paraId="7DC4E31E" w14:textId="3FB97E94" w:rsidR="0087181E" w:rsidRPr="0087181E" w:rsidRDefault="0087181E" w:rsidP="00F842D8">
      <w:pPr>
        <w:rPr>
          <w:rFonts w:asciiTheme="majorBidi" w:hAnsiTheme="majorBidi" w:cstheme="majorBidi"/>
        </w:rPr>
      </w:pPr>
      <w:r w:rsidRPr="0087181E">
        <w:rPr>
          <w:rFonts w:asciiTheme="majorBidi" w:hAnsiTheme="majorBidi" w:cstheme="majorBidi"/>
        </w:rPr>
        <w:t xml:space="preserve"> MDA</w:t>
      </w:r>
      <w:r w:rsidR="00F842D8">
        <w:rPr>
          <w:rFonts w:asciiTheme="majorBidi" w:hAnsiTheme="majorBidi" w:cstheme="majorBidi"/>
        </w:rPr>
        <w:t>:</w:t>
      </w:r>
      <w:r w:rsidRPr="0087181E">
        <w:rPr>
          <w:rFonts w:asciiTheme="majorBidi" w:hAnsiTheme="majorBidi" w:cstheme="majorBidi"/>
        </w:rPr>
        <w:t xml:space="preserve"> Malondialdehyde</w:t>
      </w:r>
    </w:p>
    <w:p w14:paraId="0549FE7F" w14:textId="23993B89" w:rsidR="0087181E" w:rsidRPr="0087181E" w:rsidRDefault="0087181E" w:rsidP="00F842D8">
      <w:pPr>
        <w:rPr>
          <w:rFonts w:asciiTheme="majorBidi" w:hAnsiTheme="majorBidi" w:cstheme="majorBidi"/>
        </w:rPr>
      </w:pPr>
      <w:r w:rsidRPr="0087181E">
        <w:rPr>
          <w:rFonts w:asciiTheme="majorBidi" w:hAnsiTheme="majorBidi" w:cstheme="majorBidi"/>
        </w:rPr>
        <w:t xml:space="preserve"> ND</w:t>
      </w:r>
      <w:r w:rsidR="00F842D8">
        <w:rPr>
          <w:rFonts w:asciiTheme="majorBidi" w:hAnsiTheme="majorBidi" w:cstheme="majorBidi"/>
        </w:rPr>
        <w:t xml:space="preserve">: </w:t>
      </w:r>
      <w:r w:rsidRPr="0087181E">
        <w:rPr>
          <w:rFonts w:asciiTheme="majorBidi" w:hAnsiTheme="majorBidi" w:cstheme="majorBidi"/>
        </w:rPr>
        <w:t xml:space="preserve"> Non-deletional mutation</w:t>
      </w:r>
    </w:p>
    <w:p w14:paraId="02B506B6" w14:textId="4EB2CAD4" w:rsidR="0087181E" w:rsidRPr="0087181E" w:rsidRDefault="0087181E" w:rsidP="00F842D8">
      <w:pPr>
        <w:rPr>
          <w:rFonts w:asciiTheme="majorBidi" w:hAnsiTheme="majorBidi" w:cstheme="majorBidi"/>
        </w:rPr>
      </w:pPr>
      <w:r w:rsidRPr="0087181E">
        <w:rPr>
          <w:rFonts w:asciiTheme="majorBidi" w:hAnsiTheme="majorBidi" w:cstheme="majorBidi"/>
        </w:rPr>
        <w:t xml:space="preserve"> NTD</w:t>
      </w:r>
      <w:r w:rsidR="00F842D8">
        <w:rPr>
          <w:rFonts w:asciiTheme="majorBidi" w:hAnsiTheme="majorBidi" w:cstheme="majorBidi"/>
        </w:rPr>
        <w:t>:</w:t>
      </w:r>
      <w:r w:rsidRPr="0087181E">
        <w:rPr>
          <w:rFonts w:asciiTheme="majorBidi" w:hAnsiTheme="majorBidi" w:cstheme="majorBidi"/>
        </w:rPr>
        <w:t xml:space="preserve"> Non-transfusion-dependent</w:t>
      </w:r>
    </w:p>
    <w:p w14:paraId="75CF2CE9" w14:textId="37DC9427" w:rsidR="0087181E" w:rsidRPr="0087181E" w:rsidRDefault="0087181E" w:rsidP="00F842D8">
      <w:pPr>
        <w:rPr>
          <w:rFonts w:asciiTheme="majorBidi" w:hAnsiTheme="majorBidi" w:cstheme="majorBidi"/>
        </w:rPr>
      </w:pPr>
      <w:r w:rsidRPr="0087181E">
        <w:rPr>
          <w:rFonts w:asciiTheme="majorBidi" w:hAnsiTheme="majorBidi" w:cstheme="majorBidi"/>
        </w:rPr>
        <w:t xml:space="preserve"> OTD</w:t>
      </w:r>
      <w:r w:rsidR="00F842D8">
        <w:rPr>
          <w:rFonts w:asciiTheme="majorBidi" w:hAnsiTheme="majorBidi" w:cstheme="majorBidi"/>
        </w:rPr>
        <w:t>:</w:t>
      </w:r>
      <w:r w:rsidRPr="0087181E">
        <w:rPr>
          <w:rFonts w:asciiTheme="majorBidi" w:hAnsiTheme="majorBidi" w:cstheme="majorBidi"/>
        </w:rPr>
        <w:t xml:space="preserve"> Occasionally transfusion-dependent</w:t>
      </w:r>
    </w:p>
    <w:p w14:paraId="27FADAB6" w14:textId="7204A3B1" w:rsidR="0087181E" w:rsidRPr="0087181E" w:rsidRDefault="0087181E" w:rsidP="00F842D8">
      <w:pPr>
        <w:rPr>
          <w:rFonts w:asciiTheme="majorBidi" w:hAnsiTheme="majorBidi" w:cstheme="majorBidi"/>
        </w:rPr>
      </w:pPr>
      <w:r w:rsidRPr="0087181E">
        <w:rPr>
          <w:rFonts w:asciiTheme="majorBidi" w:hAnsiTheme="majorBidi" w:cstheme="majorBidi"/>
        </w:rPr>
        <w:t xml:space="preserve"> ROS</w:t>
      </w:r>
      <w:r w:rsidR="00F842D8">
        <w:rPr>
          <w:rFonts w:asciiTheme="majorBidi" w:hAnsiTheme="majorBidi" w:cstheme="majorBidi"/>
        </w:rPr>
        <w:t xml:space="preserve">: </w:t>
      </w:r>
      <w:r w:rsidRPr="0087181E">
        <w:rPr>
          <w:rFonts w:asciiTheme="majorBidi" w:hAnsiTheme="majorBidi" w:cstheme="majorBidi"/>
        </w:rPr>
        <w:t xml:space="preserve"> Reactive oxygen species</w:t>
      </w:r>
    </w:p>
    <w:p w14:paraId="5DA55075" w14:textId="2437823F" w:rsidR="0087181E" w:rsidRPr="0087181E" w:rsidRDefault="0087181E" w:rsidP="00F842D8">
      <w:pPr>
        <w:rPr>
          <w:rFonts w:asciiTheme="majorBidi" w:hAnsiTheme="majorBidi" w:cstheme="majorBidi"/>
        </w:rPr>
      </w:pPr>
      <w:r w:rsidRPr="0087181E">
        <w:rPr>
          <w:rFonts w:asciiTheme="majorBidi" w:hAnsiTheme="majorBidi" w:cstheme="majorBidi"/>
        </w:rPr>
        <w:t xml:space="preserve"> TD</w:t>
      </w:r>
      <w:r w:rsidR="00F842D8">
        <w:rPr>
          <w:rFonts w:asciiTheme="majorBidi" w:hAnsiTheme="majorBidi" w:cstheme="majorBidi"/>
        </w:rPr>
        <w:t>:</w:t>
      </w:r>
      <w:r w:rsidRPr="0087181E">
        <w:rPr>
          <w:rFonts w:asciiTheme="majorBidi" w:hAnsiTheme="majorBidi" w:cstheme="majorBidi"/>
        </w:rPr>
        <w:t xml:space="preserve"> Transfusion-dependent</w:t>
      </w:r>
    </w:p>
    <w:p w14:paraId="48018A80" w14:textId="2AE4F899" w:rsidR="00B24526" w:rsidRDefault="00B24526" w:rsidP="009203FA">
      <w:pPr>
        <w:spacing w:before="100" w:beforeAutospacing="1" w:after="100" w:afterAutospacing="1" w:line="240" w:lineRule="auto"/>
        <w:jc w:val="both"/>
        <w:rPr>
          <w:rFonts w:asciiTheme="majorBidi" w:eastAsia="Times New Roman" w:hAnsiTheme="majorBidi" w:cstheme="majorBidi"/>
          <w:sz w:val="21"/>
          <w:szCs w:val="21"/>
        </w:rPr>
      </w:pPr>
    </w:p>
    <w:p w14:paraId="46B01F5A" w14:textId="77777777" w:rsidR="00B24526" w:rsidRPr="004B4997" w:rsidRDefault="00B24526" w:rsidP="00B24526">
      <w:pPr>
        <w:pStyle w:val="whitespace-normal"/>
        <w:jc w:val="both"/>
        <w:rPr>
          <w:rFonts w:asciiTheme="majorBidi" w:hAnsiTheme="majorBidi" w:cstheme="majorBidi"/>
          <w:b/>
          <w:bCs/>
          <w:sz w:val="32"/>
          <w:szCs w:val="32"/>
          <w:lang w:bidi="fa-IR"/>
        </w:rPr>
      </w:pPr>
      <w:r w:rsidRPr="004B4997">
        <w:rPr>
          <w:rFonts w:asciiTheme="majorBidi" w:hAnsiTheme="majorBidi" w:cstheme="majorBidi"/>
          <w:b/>
          <w:bCs/>
          <w:sz w:val="32"/>
          <w:szCs w:val="32"/>
          <w:lang w:bidi="fa-IR"/>
        </w:rPr>
        <w:t xml:space="preserve">Combined Role of Growth Differentiation Factor 15 and Oxidative Stress Markers in Hemoglobin H Disease: A Genotype-Based Insight </w:t>
      </w:r>
    </w:p>
    <w:p w14:paraId="13B5DE87" w14:textId="77777777" w:rsidR="00B24526" w:rsidRPr="009203FA" w:rsidRDefault="00B24526" w:rsidP="009203FA">
      <w:pPr>
        <w:spacing w:before="100" w:beforeAutospacing="1" w:after="100" w:afterAutospacing="1" w:line="240" w:lineRule="auto"/>
        <w:jc w:val="both"/>
        <w:rPr>
          <w:rFonts w:asciiTheme="majorBidi" w:eastAsia="Times New Roman" w:hAnsiTheme="majorBidi" w:cstheme="majorBidi"/>
          <w:sz w:val="21"/>
          <w:szCs w:val="21"/>
        </w:rPr>
      </w:pPr>
    </w:p>
    <w:p w14:paraId="7187BCE8" w14:textId="004FD746" w:rsidR="00EA4CFB" w:rsidRPr="000F1953" w:rsidRDefault="003E1A83" w:rsidP="00C2358C">
      <w:pPr>
        <w:spacing w:before="100" w:beforeAutospacing="1" w:after="100" w:afterAutospacing="1" w:line="240" w:lineRule="auto"/>
        <w:jc w:val="both"/>
        <w:rPr>
          <w:rFonts w:asciiTheme="majorBidi" w:eastAsia="Times New Roman" w:hAnsiTheme="majorBidi" w:cstheme="majorBidi"/>
          <w:sz w:val="24"/>
          <w:szCs w:val="24"/>
        </w:rPr>
      </w:pPr>
      <w:r w:rsidRPr="00BD3A38">
        <w:rPr>
          <w:rFonts w:ascii="Times New Roman" w:hAnsi="Times New Roman" w:cs="Times New Roman"/>
          <w:b/>
          <w:bCs/>
          <w:color w:val="000000" w:themeColor="text1"/>
          <w:sz w:val="24"/>
          <w:szCs w:val="24"/>
        </w:rPr>
        <w:t>ABSTRACT</w:t>
      </w:r>
      <w:r w:rsidR="00EA4CFB" w:rsidRPr="000F1953">
        <w:rPr>
          <w:rFonts w:asciiTheme="majorBidi" w:eastAsia="Times New Roman" w:hAnsiTheme="majorBidi" w:cstheme="majorBidi"/>
          <w:sz w:val="24"/>
          <w:szCs w:val="24"/>
        </w:rPr>
        <w:br/>
      </w:r>
      <w:r w:rsidR="00EA4CFB" w:rsidRPr="003E1A83">
        <w:rPr>
          <w:rFonts w:asciiTheme="majorBidi" w:eastAsia="Times New Roman" w:hAnsiTheme="majorBidi" w:cstheme="majorBidi"/>
          <w:b/>
          <w:bCs/>
          <w:sz w:val="24"/>
          <w:szCs w:val="24"/>
        </w:rPr>
        <w:t>Background:</w:t>
      </w:r>
      <w:r w:rsidR="00EA4CFB" w:rsidRPr="000F1953">
        <w:rPr>
          <w:rFonts w:asciiTheme="majorBidi" w:eastAsia="Times New Roman" w:hAnsiTheme="majorBidi" w:cstheme="majorBidi"/>
          <w:sz w:val="24"/>
          <w:szCs w:val="24"/>
        </w:rPr>
        <w:t xml:space="preserve"> Hemoglobin H (Hb H) disease presents with a broad spectrum of clinical severity influenced by underlying α-globin genotypes. Growth Differentiation Factor 15 (GDF-15) and oxidative stress biomarkers have emerged as potential indicators of ineffective erythropoiesis and disease burden in thalassemic disorders, yet their genotype-specific role in Hb H disease remains understudied.</w:t>
      </w:r>
    </w:p>
    <w:p w14:paraId="7F67034B" w14:textId="77777777" w:rsidR="00EA4CFB" w:rsidRPr="000F1953" w:rsidRDefault="00EA4CFB" w:rsidP="00C2358C">
      <w:pPr>
        <w:spacing w:before="100" w:beforeAutospacing="1" w:after="100" w:afterAutospacing="1" w:line="240" w:lineRule="auto"/>
        <w:jc w:val="both"/>
        <w:rPr>
          <w:rFonts w:asciiTheme="majorBidi" w:eastAsia="Times New Roman" w:hAnsiTheme="majorBidi" w:cstheme="majorBidi"/>
          <w:sz w:val="24"/>
          <w:szCs w:val="24"/>
        </w:rPr>
      </w:pPr>
      <w:r w:rsidRPr="003E1A83">
        <w:rPr>
          <w:rFonts w:asciiTheme="majorBidi" w:eastAsia="Times New Roman" w:hAnsiTheme="majorBidi" w:cstheme="majorBidi"/>
          <w:b/>
          <w:bCs/>
          <w:sz w:val="24"/>
          <w:szCs w:val="24"/>
        </w:rPr>
        <w:t>Methods:</w:t>
      </w:r>
      <w:r w:rsidRPr="000F1953">
        <w:rPr>
          <w:rFonts w:asciiTheme="majorBidi" w:eastAsia="Times New Roman" w:hAnsiTheme="majorBidi" w:cstheme="majorBidi"/>
          <w:sz w:val="24"/>
          <w:szCs w:val="24"/>
        </w:rPr>
        <w:t xml:space="preserve"> In this multicenter cross-sectional study, 152 patients with confirmed Hb H disease were genotypically stratified into three groups: ND/ND, ND/D, and D/D. Patients were also categorized clinically as transfusion-dependent (TD), occasionally transfusion-dependent (OTD), or non-transfusion-dependent (NTD). Comprehensive hematologic, biochemical, and molecular analyses were performed alongside quantification of plasma GDF-15 and malondialdehyde (MDA) levels. Statistical correlations with clinical, genotypic, and inflammatory parameters were assessed.</w:t>
      </w:r>
    </w:p>
    <w:p w14:paraId="2DF64D8E" w14:textId="77777777" w:rsidR="00EA4CFB" w:rsidRPr="000F1953" w:rsidRDefault="00EA4CFB" w:rsidP="00C2358C">
      <w:pPr>
        <w:spacing w:before="100" w:beforeAutospacing="1" w:after="100" w:afterAutospacing="1" w:line="240" w:lineRule="auto"/>
        <w:jc w:val="both"/>
        <w:rPr>
          <w:rFonts w:asciiTheme="majorBidi" w:eastAsia="Times New Roman" w:hAnsiTheme="majorBidi" w:cstheme="majorBidi"/>
          <w:sz w:val="24"/>
          <w:szCs w:val="24"/>
        </w:rPr>
      </w:pPr>
      <w:r w:rsidRPr="003E1A83">
        <w:rPr>
          <w:rFonts w:asciiTheme="majorBidi" w:eastAsia="Times New Roman" w:hAnsiTheme="majorBidi" w:cstheme="majorBidi"/>
          <w:b/>
          <w:bCs/>
          <w:sz w:val="24"/>
          <w:szCs w:val="24"/>
        </w:rPr>
        <w:t>Results:</w:t>
      </w:r>
      <w:r w:rsidRPr="000F1953">
        <w:rPr>
          <w:rFonts w:asciiTheme="majorBidi" w:eastAsia="Times New Roman" w:hAnsiTheme="majorBidi" w:cstheme="majorBidi"/>
          <w:sz w:val="24"/>
          <w:szCs w:val="24"/>
        </w:rPr>
        <w:t xml:space="preserve"> GDF-15 and MDA levels were significantly elevated in TD patients compared to OTD and NTD subgroups (p &lt; 0.001), and were highest among ND/D genotypes. GDF-15 showed strong positive correlations with reticulocyte count (r = 0.77) and negative correlations with hemoglobin levels (r = –0.64), while MDA correlated with serum ferritin (r = 0.65), CRP (r = 0.31), and GDF-15 (r = 0.55) (all p &lt; 0.01). Post-transfusion GDF-15 levels decreased significantly in TD patients (p &lt; 0.001). Splenectomized patients exhibited significantly higher MDA, reticulocyte, and CRP levels. Genotypic analysis revealed a higher prevalence of non-deletional mutations in TD patients, with deletional genotypes dominating in NTD cases.</w:t>
      </w:r>
    </w:p>
    <w:p w14:paraId="39E8C4C4" w14:textId="77777777" w:rsidR="00A971E1" w:rsidRPr="00A971E1" w:rsidRDefault="00A971E1" w:rsidP="00A971E1">
      <w:pPr>
        <w:spacing w:before="100" w:beforeAutospacing="1" w:after="100" w:afterAutospacing="1" w:line="240" w:lineRule="auto"/>
        <w:jc w:val="both"/>
        <w:rPr>
          <w:rFonts w:asciiTheme="majorBidi" w:eastAsia="Times New Roman" w:hAnsiTheme="majorBidi" w:cstheme="majorBidi"/>
          <w:b/>
          <w:bCs/>
          <w:sz w:val="24"/>
          <w:szCs w:val="24"/>
        </w:rPr>
      </w:pPr>
      <w:r w:rsidRPr="00A971E1">
        <w:rPr>
          <w:rFonts w:asciiTheme="majorBidi" w:eastAsia="Times New Roman" w:hAnsiTheme="majorBidi" w:cstheme="majorBidi"/>
          <w:b/>
          <w:bCs/>
          <w:sz w:val="24"/>
          <w:szCs w:val="24"/>
        </w:rPr>
        <w:t xml:space="preserve">Conclusion: </w:t>
      </w:r>
      <w:r w:rsidRPr="00A971E1">
        <w:rPr>
          <w:rFonts w:asciiTheme="majorBidi" w:eastAsia="Times New Roman" w:hAnsiTheme="majorBidi" w:cstheme="majorBidi"/>
          <w:sz w:val="24"/>
          <w:szCs w:val="24"/>
          <w:highlight w:val="yellow"/>
        </w:rPr>
        <w:t>GDF-15 and MDA are significantly associated not only with erythropoietic activity and oxidative stress, respectively, but also with the severity of Hb H disease. Their levels vary significantly across genotypes and transfusion statuses, highlighting their potential as adjunct biomarkers for clinical monitoring and risk stratification in patients with Hb H disease.</w:t>
      </w:r>
    </w:p>
    <w:p w14:paraId="738E1226" w14:textId="7E9F2BDB" w:rsidR="00B0249B" w:rsidRPr="000F1953" w:rsidRDefault="00EA4CFB" w:rsidP="00C2358C">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b/>
          <w:bCs/>
          <w:sz w:val="24"/>
          <w:szCs w:val="24"/>
        </w:rPr>
        <w:t>Keywords:</w:t>
      </w:r>
      <w:r w:rsidRPr="000F1953">
        <w:rPr>
          <w:rFonts w:asciiTheme="majorBidi" w:eastAsia="Times New Roman" w:hAnsiTheme="majorBidi" w:cstheme="majorBidi"/>
          <w:sz w:val="24"/>
          <w:szCs w:val="24"/>
        </w:rPr>
        <w:t xml:space="preserve"> Hemoglobin H disease; GDF-15; Oxidative stress; Malondialdehyde; α-globin genotype; Thalassemia; Transfusion dependency</w:t>
      </w:r>
    </w:p>
    <w:p w14:paraId="408A87F6" w14:textId="2976E1D5" w:rsidR="00B0249B" w:rsidRPr="000F1953" w:rsidRDefault="003C57A6" w:rsidP="00C2358C">
      <w:pPr>
        <w:pStyle w:val="whitespace-normal"/>
        <w:jc w:val="both"/>
        <w:rPr>
          <w:rFonts w:asciiTheme="majorBidi" w:hAnsiTheme="majorBidi" w:cstheme="majorBidi"/>
          <w:b/>
          <w:bCs/>
        </w:rPr>
      </w:pPr>
      <w:r w:rsidRPr="000F1953">
        <w:rPr>
          <w:rFonts w:asciiTheme="majorBidi" w:hAnsiTheme="majorBidi" w:cstheme="majorBidi"/>
          <w:b/>
          <w:bCs/>
        </w:rPr>
        <w:t xml:space="preserve">INTRODUCTION </w:t>
      </w:r>
    </w:p>
    <w:p w14:paraId="28E455B7" w14:textId="2B0E2CCF" w:rsidR="007E34A2" w:rsidRPr="000F1953" w:rsidRDefault="009345F8" w:rsidP="0009557E">
      <w:pPr>
        <w:pStyle w:val="whitespace-normal"/>
        <w:jc w:val="both"/>
        <w:rPr>
          <w:rFonts w:asciiTheme="majorBidi" w:hAnsiTheme="majorBidi" w:cstheme="majorBidi"/>
        </w:rPr>
      </w:pPr>
      <w:r w:rsidRPr="000F1953">
        <w:rPr>
          <w:rFonts w:asciiTheme="majorBidi" w:hAnsiTheme="majorBidi" w:cstheme="majorBidi"/>
        </w:rPr>
        <w:t>Alpha-thalassemia is among the most common inherited hemoglobinopathies globally. Hemoglobin H (Hb H) disease, arising from the deletion or dysfunction of three α-globin genes, constitutes a clinically intermediate form of alpha-thalassemia, with manifestations ranging from mild or asymptomatic anemia to severe transfusion-dependent anemia </w:t>
      </w:r>
      <w:r w:rsidR="007E34A2"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&lt;EndNote&gt;&lt;Cite&gt;&lt;Author&gt;Lal&lt;/Author&gt;&lt;Year&gt;2011&lt;/Year&gt;&lt;RecNum&gt;1&lt;/RecNum&gt;&lt;DisplayText&gt;&lt;style face="superscript"&gt;[1]&lt;/style&gt;&lt;/DisplayText&gt;&lt;record&gt;&lt;rec-number&gt;1&lt;/rec-number&gt;&lt;foreign-keys&gt;&lt;key app="EN" db-id="vwpp5pa0laz0wtewve755txcsrrxa2vxvxp9" timestamp="1755336866"&gt;1&lt;/key&gt;&lt;/foreign-keys&gt;&lt;ref-type name="Journal Article"&gt;17&lt;/ref-type&gt;&lt;contributors&gt;&lt;authors&gt;&lt;author&gt;Lal, Ashutosh&lt;/author&gt;&lt;author&gt;Goldrich, Michael L&lt;/author&gt;&lt;author&gt;Haines, Drucilla A&lt;/author&gt;&lt;author&gt;Azimi, Mahin&lt;/author&gt;&lt;author&gt;Singer, Sylvia T&lt;/author&gt;&lt;author&gt;Vichinsky, Elliott P %J New England Journal of Medicine&lt;/author&gt;&lt;/authors&gt;&lt;/contributors&gt;&lt;titles&gt;&lt;title&gt;Heterogeneity of hemoglobin H disease in childhood&lt;/title&gt;&lt;secondary-title&gt;N Engl J Med&lt;/secondary-title&gt;&lt;/titles&gt;&lt;periodical&gt;&lt;full-title&gt;N Engl J Med&lt;/full-title&gt;&lt;/periodical&gt;&lt;pages&gt;710-718&lt;/pages&gt;&lt;volume&gt;364&lt;/volume&gt;&lt;number&gt;8&lt;/number&gt;&lt;dates&gt;&lt;year&gt;2011&lt;/year&gt;&lt;/dates&gt;&lt;isbn&gt;0028-4793&lt;/isbn&gt;&lt;urls&gt;&lt;/urls&gt;&lt;/record&gt;&lt;/Cite&gt;&lt;/EndNote&gt;</w:instrText>
      </w:r>
      <w:r w:rsidR="007E34A2"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[1]</w:t>
      </w:r>
      <w:r w:rsidR="007E34A2" w:rsidRPr="000F1953">
        <w:rPr>
          <w:rFonts w:asciiTheme="majorBidi" w:hAnsiTheme="majorBidi" w:cstheme="majorBidi"/>
        </w:rPr>
        <w:fldChar w:fldCharType="end"/>
      </w:r>
      <w:r w:rsidR="007E34A2" w:rsidRPr="000F1953">
        <w:rPr>
          <w:rFonts w:asciiTheme="majorBidi" w:hAnsiTheme="majorBidi" w:cstheme="majorBidi"/>
          <w:rtl/>
        </w:rPr>
        <w:t>.</w:t>
      </w:r>
      <w:r w:rsidR="007E34A2" w:rsidRPr="000F1953">
        <w:rPr>
          <w:rFonts w:asciiTheme="majorBidi" w:hAnsiTheme="majorBidi" w:cstheme="majorBidi"/>
        </w:rPr>
        <w:t xml:space="preserve"> </w:t>
      </w:r>
      <w:r w:rsidRPr="000F1953">
        <w:rPr>
          <w:rFonts w:asciiTheme="majorBidi" w:hAnsiTheme="majorBidi" w:cstheme="majorBidi"/>
        </w:rPr>
        <w:t>The broad phenotypic spectrum of Hb H disease is largely driven by underlying genetic variations, with non-deletional (ND) mutations typically associated with more severe clinical phenotypes than deletional (D) forms</w:t>
      </w:r>
      <w:r w:rsidR="00512DA8" w:rsidRPr="000F1953">
        <w:rPr>
          <w:rFonts w:asciiTheme="majorBidi" w:hAnsiTheme="majorBidi" w:cstheme="majorBidi"/>
          <w:rtl/>
        </w:rPr>
        <w:t xml:space="preserve"> </w:t>
      </w:r>
      <w:r w:rsidR="007E34A2"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&lt;EndNote&gt;&lt;Cite&gt;&lt;Author&gt;Fucharoen&lt;/Author&gt;&lt;Year&gt;2009&lt;/Year&gt;&lt;RecNum&gt;2&lt;/RecNum&gt;&lt;DisplayText&gt;&lt;style face="superscript"&gt;[2]&lt;/style&gt;&lt;/DisplayText&gt;&lt;record&gt;&lt;rec-number&gt;2&lt;/rec-number&gt;&lt;foreign-keys&gt;&lt;key app="EN" db-id="vwpp5pa0laz0wtewve755txcsrrxa2vxvxp9" timestamp="1755336866"&gt;2&lt;/key&gt;&lt;/foreign-keys&gt;&lt;ref-type name="Journal Article"&gt;17&lt;/ref-type&gt;&lt;contributors&gt;&lt;authors&gt;&lt;author&gt;Fucharoen, Suthat&lt;/author&gt;&lt;author&gt;Viprakasit, Vip %J ASH Education Program Book&lt;/author&gt;&lt;/authors&gt;&lt;/contributors&gt;&lt;titles&gt;&lt;title&gt;Hb H disease: clinical course and disease modifiers&lt;/title&gt;&lt;secondary-title&gt;Hematology Am Soc Hematol Educ Program&lt;/secondary-title&gt;&lt;/titles&gt;&lt;periodical&gt;&lt;full-title&gt;Hematology Am Soc Hematol Educ Program&lt;/full-title&gt;&lt;/periodical&gt;&lt;pages&gt;26-34&lt;/pages&gt;&lt;volume&gt;2009&lt;/volume&gt;&lt;number&gt;1&lt;/number&gt;&lt;dates&gt;&lt;year&gt;2009&lt;/year&gt;&lt;/dates&gt;&lt;isbn&gt;1520-4391&lt;/isbn&gt;&lt;urls&gt;&lt;/urls&gt;&lt;/record&gt;&lt;/Cite&gt;&lt;/EndNote&gt;</w:instrText>
      </w:r>
      <w:r w:rsidR="007E34A2"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[2]</w:t>
      </w:r>
      <w:r w:rsidR="007E34A2" w:rsidRPr="000F1953">
        <w:rPr>
          <w:rFonts w:asciiTheme="majorBidi" w:hAnsiTheme="majorBidi" w:cstheme="majorBidi"/>
        </w:rPr>
        <w:fldChar w:fldCharType="end"/>
      </w:r>
      <w:r w:rsidR="007E34A2" w:rsidRPr="000F1953">
        <w:rPr>
          <w:rFonts w:asciiTheme="majorBidi" w:hAnsiTheme="majorBidi" w:cstheme="majorBidi"/>
        </w:rPr>
        <w:t xml:space="preserve">. </w:t>
      </w:r>
      <w:r w:rsidRPr="000F1953">
        <w:rPr>
          <w:rFonts w:asciiTheme="majorBidi" w:hAnsiTheme="majorBidi" w:cstheme="majorBidi"/>
        </w:rPr>
        <w:t>Although conventional classification systems—based on either transfusion requirements or genotypic categories—offer useful clinical guidance, they may not adequately capture the complex biochemical and pathophysiological mechanisms that influence disease progression</w:t>
      </w:r>
      <w:r w:rsidR="00AD5534" w:rsidRPr="000F1953">
        <w:rPr>
          <w:rFonts w:asciiTheme="majorBidi" w:hAnsiTheme="majorBidi" w:cstheme="majorBidi"/>
          <w:rtl/>
        </w:rPr>
        <w:t xml:space="preserve"> </w:t>
      </w:r>
      <w:r w:rsidR="007E34A2"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&lt;EndNote&gt;&lt;Cite&gt;&lt;Author&gt;Lal&lt;/Author&gt;&lt;Year&gt;2011&lt;/Year&gt;&lt;RecNum&gt;1&lt;/RecNum&gt;&lt;DisplayText&gt;&lt;style face="superscript"&gt;[1, 3]&lt;/style&gt;&lt;/DisplayText&gt;&lt;record&gt;&lt;rec-number&gt;1&lt;/rec-number&gt;&lt;foreign-keys&gt;&lt;key app="EN" db-id="vwpp5pa0laz0wtewve755txcsrrxa2vxvxp9" timestamp="1755336866"&gt;1&lt;/key&gt;&lt;/foreign-keys&gt;&lt;ref-type name="Journal Article"&gt;17&lt;/ref-type&gt;&lt;contributors&gt;&lt;authors&gt;&lt;author&gt;Lal, Ashutosh&lt;/author&gt;&lt;author&gt;Goldrich, Michael L&lt;/author&gt;&lt;author&gt;Haines, Drucilla A&lt;/author&gt;&lt;author&gt;Azimi, Mahin&lt;/author&gt;&lt;author&gt;Singer, Sylvia T&lt;/author&gt;&lt;author&gt;Vichinsky, Elliott P %J New England Journal of Medicine&lt;/author&gt;&lt;/authors&gt;&lt;/contributors&gt;&lt;titles&gt;&lt;title&gt;Heterogeneity of hemoglobin H disease in childhood&lt;/title&gt;&lt;secondary-title&gt;N Engl J Med&lt;/secondary-title&gt;&lt;/titles&gt;&lt;periodical&gt;&lt;full-title&gt;N Engl J Med&lt;/full-title&gt;&lt;/periodical&gt;&lt;pages&gt;710-718&lt;/pages&gt;&lt;volume&gt;364&lt;/volume&gt;&lt;number&gt;8&lt;/number&gt;&lt;dates&gt;&lt;year&gt;2011&lt;/year&gt;&lt;/dates&gt;&lt;isbn&gt;0028-4793&lt;/isbn&gt;&lt;urls&gt;&lt;/urls&gt;&lt;/record&gt;&lt;/Cite&gt;&lt;Cite&gt;&lt;Author&gt;Chiou&lt;/Author&gt;&lt;Year&gt;2014&lt;/Year&gt;&lt;RecNum&gt;3&lt;/RecNum&gt;&lt;record&gt;&lt;rec-number&gt;3&lt;/rec-number&gt;&lt;foreign-keys&gt;&lt;key app="EN" db-id="vwpp5pa0laz0wtewve755txcsrrxa2vxvxp9" timestamp="1755336866"&gt;3&lt;/key&gt;&lt;/foreign-keys&gt;&lt;ref-type name="Journal Article"&gt;17&lt;/ref-type&gt;&lt;contributors&gt;&lt;authors&gt;&lt;author&gt;Chiou, Shyh</w:instrText>
      </w:r>
      <w:r w:rsidR="0009557E">
        <w:rPr>
          <w:rFonts w:ascii="Cambria Math" w:hAnsi="Cambria Math" w:cs="Cambria Math"/>
        </w:rPr>
        <w:instrText>‐</w:instrText>
      </w:r>
      <w:r w:rsidR="0009557E">
        <w:rPr>
          <w:rFonts w:asciiTheme="majorBidi" w:hAnsiTheme="majorBidi" w:cstheme="majorBidi"/>
        </w:rPr>
        <w:instrText>Shin&lt;/author&gt;&lt;author&gt;Tsao, Chao</w:instrText>
      </w:r>
      <w:r w:rsidR="0009557E">
        <w:rPr>
          <w:rFonts w:ascii="Cambria Math" w:hAnsi="Cambria Math" w:cs="Cambria Math"/>
        </w:rPr>
        <w:instrText>‐</w:instrText>
      </w:r>
      <w:r w:rsidR="0009557E">
        <w:rPr>
          <w:rFonts w:asciiTheme="majorBidi" w:hAnsiTheme="majorBidi" w:cstheme="majorBidi"/>
        </w:rPr>
        <w:instrText>Jung&lt;/author&gt;&lt;author&gt;Tsai, Shih</w:instrText>
      </w:r>
      <w:r w:rsidR="0009557E">
        <w:rPr>
          <w:rFonts w:ascii="Cambria Math" w:hAnsi="Cambria Math" w:cs="Cambria Math"/>
        </w:rPr>
        <w:instrText>‐</w:instrText>
      </w:r>
      <w:r w:rsidR="0009557E">
        <w:rPr>
          <w:rFonts w:asciiTheme="majorBidi" w:hAnsiTheme="majorBidi" w:cstheme="majorBidi"/>
        </w:rPr>
        <w:instrText>Meng&lt;/author&gt;&lt;author&gt;Wu, Ye</w:instrText>
      </w:r>
      <w:r w:rsidR="0009557E">
        <w:rPr>
          <w:rFonts w:ascii="Cambria Math" w:hAnsi="Cambria Math" w:cs="Cambria Math"/>
        </w:rPr>
        <w:instrText>‐</w:instrText>
      </w:r>
      <w:r w:rsidR="0009557E">
        <w:rPr>
          <w:rFonts w:asciiTheme="majorBidi" w:hAnsiTheme="majorBidi" w:cstheme="majorBidi"/>
        </w:rPr>
        <w:instrText>Ru&lt;/author&gt;&lt;author&gt;Liao, Yu</w:instrText>
      </w:r>
      <w:r w:rsidR="0009557E">
        <w:rPr>
          <w:rFonts w:ascii="Cambria Math" w:hAnsi="Cambria Math" w:cs="Cambria Math"/>
        </w:rPr>
        <w:instrText>‐</w:instrText>
      </w:r>
      <w:r w:rsidR="0009557E">
        <w:rPr>
          <w:rFonts w:asciiTheme="majorBidi" w:hAnsiTheme="majorBidi" w:cstheme="majorBidi"/>
        </w:rPr>
        <w:instrText>Mei&lt;/author&gt;&lt;author&gt;Lin, Pei</w:instrText>
      </w:r>
      <w:r w:rsidR="0009557E">
        <w:rPr>
          <w:rFonts w:ascii="Cambria Math" w:hAnsi="Cambria Math" w:cs="Cambria Math"/>
        </w:rPr>
        <w:instrText>‐</w:instrText>
      </w:r>
      <w:r w:rsidR="0009557E">
        <w:rPr>
          <w:rFonts w:asciiTheme="majorBidi" w:hAnsiTheme="majorBidi" w:cstheme="majorBidi"/>
        </w:rPr>
        <w:instrText>Chin&lt;/author&gt;&lt;author&gt;Tsai, Li</w:instrText>
      </w:r>
      <w:r w:rsidR="0009557E">
        <w:rPr>
          <w:rFonts w:ascii="Cambria Math" w:hAnsi="Cambria Math" w:cs="Cambria Math"/>
        </w:rPr>
        <w:instrText>‐</w:instrText>
      </w:r>
      <w:r w:rsidR="0009557E">
        <w:rPr>
          <w:rFonts w:asciiTheme="majorBidi" w:hAnsiTheme="majorBidi" w:cstheme="majorBidi"/>
        </w:rPr>
        <w:instrText>Yu %J Journal of Clinical Laboratory Analysis&lt;/author&gt;&lt;/authors&gt;&lt;/contributors&gt;&lt;titles&gt;&lt;title&gt;Metabolic pathways related to oxidative stress in patients with hemoglobin H disease and iron overload&lt;/title&gt;&lt;secondary-title&gt;J Clin Lab Anal&lt;/secondary-title&gt;&lt;/titles&gt;&lt;periodical&gt;&lt;full-title&gt;J Clin Lab Anal&lt;/full-title&gt;&lt;/periodical&gt;&lt;pages&gt;261-268&lt;/pages&gt;&lt;volume&gt;28&lt;/volume&gt;&lt;number&gt;4&lt;/number&gt;&lt;dates&gt;&lt;year&gt;2014&lt;/year&gt;&lt;/dates&gt;&lt;isbn&gt;0887-8013&lt;/isbn&gt;&lt;urls&gt;&lt;/urls&gt;&lt;/record&gt;&lt;/Cite&gt;&lt;/EndNote&gt;</w:instrText>
      </w:r>
      <w:r w:rsidR="007E34A2"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[1, 3]</w:t>
      </w:r>
      <w:r w:rsidR="007E34A2" w:rsidRPr="000F1953">
        <w:rPr>
          <w:rFonts w:asciiTheme="majorBidi" w:hAnsiTheme="majorBidi" w:cstheme="majorBidi"/>
        </w:rPr>
        <w:fldChar w:fldCharType="end"/>
      </w:r>
      <w:r w:rsidR="007E34A2" w:rsidRPr="000F1953">
        <w:rPr>
          <w:rFonts w:asciiTheme="majorBidi" w:hAnsiTheme="majorBidi" w:cstheme="majorBidi"/>
        </w:rPr>
        <w:t>.</w:t>
      </w:r>
    </w:p>
    <w:p w14:paraId="7E4C8BD0" w14:textId="755996BE" w:rsidR="00C063E3" w:rsidRPr="000F1953" w:rsidRDefault="009345F8" w:rsidP="0009557E">
      <w:pPr>
        <w:pStyle w:val="whitespace-normal"/>
        <w:jc w:val="both"/>
        <w:rPr>
          <w:rFonts w:asciiTheme="majorBidi" w:hAnsiTheme="majorBidi" w:cstheme="majorBidi"/>
        </w:rPr>
      </w:pPr>
      <w:r w:rsidRPr="000F1953">
        <w:rPr>
          <w:rFonts w:asciiTheme="majorBidi" w:hAnsiTheme="majorBidi" w:cstheme="majorBidi"/>
        </w:rPr>
        <w:t xml:space="preserve">The underlying pathophysiology of Hb H disease is shaped by a multifactorial interplay involving ineffective erythropoiesis, hemolysis, oxidative stress, and progressive iron overload. Among these, oxidative stress has emerged as a key pathogenic contributor in various hemoglobinopathies, including Hb H disease. The presence of unstable hemoglobin variants and the accumulation of excess β-globin chains promote the generation of reactive oxygen species (ROS), which in turn trigger lipid peroxidation, membrane disruption, and premature red blood cell destruction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&lt;EndNote&gt;&lt;Cite&gt;&lt;Author&gt;Chiou&lt;/Author&gt;&lt;Year&gt;2014&lt;/Year&gt;&lt;RecNum&gt;3&lt;/RecNum&gt;&lt;DisplayText&gt;&lt;style face="superscript"&gt;[3, 4]&lt;/style&gt;&lt;/DisplayText&gt;&lt;record&gt;&lt;rec-number&gt;3&lt;/rec-number&gt;&lt;foreign-keys&gt;&lt;key app="EN" db-id="vwpp5pa0laz0wtewve755txcsrrxa2vxvxp9" timestamp="1755336866"&gt;3&lt;/key&gt;&lt;/foreign-keys&gt;&lt;ref-type name="Journal Article"&gt;17&lt;/ref-type&gt;&lt;contributors&gt;&lt;authors&gt;&lt;author&gt;Chiou, Shyh</w:instrText>
      </w:r>
      <w:r w:rsidR="0009557E">
        <w:rPr>
          <w:rFonts w:ascii="Cambria Math" w:hAnsi="Cambria Math" w:cs="Cambria Math"/>
        </w:rPr>
        <w:instrText>‐</w:instrText>
      </w:r>
      <w:r w:rsidR="0009557E">
        <w:rPr>
          <w:rFonts w:asciiTheme="majorBidi" w:hAnsiTheme="majorBidi" w:cstheme="majorBidi"/>
        </w:rPr>
        <w:instrText>Shin&lt;/author&gt;&lt;author&gt;Tsao, Chao</w:instrText>
      </w:r>
      <w:r w:rsidR="0009557E">
        <w:rPr>
          <w:rFonts w:ascii="Cambria Math" w:hAnsi="Cambria Math" w:cs="Cambria Math"/>
        </w:rPr>
        <w:instrText>‐</w:instrText>
      </w:r>
      <w:r w:rsidR="0009557E">
        <w:rPr>
          <w:rFonts w:asciiTheme="majorBidi" w:hAnsiTheme="majorBidi" w:cstheme="majorBidi"/>
        </w:rPr>
        <w:instrText>Jung&lt;/author&gt;&lt;author&gt;Tsai, Shih</w:instrText>
      </w:r>
      <w:r w:rsidR="0009557E">
        <w:rPr>
          <w:rFonts w:ascii="Cambria Math" w:hAnsi="Cambria Math" w:cs="Cambria Math"/>
        </w:rPr>
        <w:instrText>‐</w:instrText>
      </w:r>
      <w:r w:rsidR="0009557E">
        <w:rPr>
          <w:rFonts w:asciiTheme="majorBidi" w:hAnsiTheme="majorBidi" w:cstheme="majorBidi"/>
        </w:rPr>
        <w:instrText>Meng&lt;/author&gt;&lt;author&gt;Wu, Ye</w:instrText>
      </w:r>
      <w:r w:rsidR="0009557E">
        <w:rPr>
          <w:rFonts w:ascii="Cambria Math" w:hAnsi="Cambria Math" w:cs="Cambria Math"/>
        </w:rPr>
        <w:instrText>‐</w:instrText>
      </w:r>
      <w:r w:rsidR="0009557E">
        <w:rPr>
          <w:rFonts w:asciiTheme="majorBidi" w:hAnsiTheme="majorBidi" w:cstheme="majorBidi"/>
        </w:rPr>
        <w:instrText>Ru&lt;/author&gt;&lt;author&gt;Liao, Yu</w:instrText>
      </w:r>
      <w:r w:rsidR="0009557E">
        <w:rPr>
          <w:rFonts w:ascii="Cambria Math" w:hAnsi="Cambria Math" w:cs="Cambria Math"/>
        </w:rPr>
        <w:instrText>‐</w:instrText>
      </w:r>
      <w:r w:rsidR="0009557E">
        <w:rPr>
          <w:rFonts w:asciiTheme="majorBidi" w:hAnsiTheme="majorBidi" w:cstheme="majorBidi"/>
        </w:rPr>
        <w:instrText>Mei&lt;/author&gt;&lt;author&gt;Lin, Pei</w:instrText>
      </w:r>
      <w:r w:rsidR="0009557E">
        <w:rPr>
          <w:rFonts w:ascii="Cambria Math" w:hAnsi="Cambria Math" w:cs="Cambria Math"/>
        </w:rPr>
        <w:instrText>‐</w:instrText>
      </w:r>
      <w:r w:rsidR="0009557E">
        <w:rPr>
          <w:rFonts w:asciiTheme="majorBidi" w:hAnsiTheme="majorBidi" w:cstheme="majorBidi"/>
        </w:rPr>
        <w:instrText>Chin&lt;/author&gt;&lt;author&gt;Tsai, Li</w:instrText>
      </w:r>
      <w:r w:rsidR="0009557E">
        <w:rPr>
          <w:rFonts w:ascii="Cambria Math" w:hAnsi="Cambria Math" w:cs="Cambria Math"/>
        </w:rPr>
        <w:instrText>‐</w:instrText>
      </w:r>
      <w:r w:rsidR="0009557E">
        <w:rPr>
          <w:rFonts w:asciiTheme="majorBidi" w:hAnsiTheme="majorBidi" w:cstheme="majorBidi"/>
        </w:rPr>
        <w:instrText>Yu %J Journal of Clinical Laboratory Analysis&lt;/author&gt;&lt;/authors&gt;&lt;/contributors&gt;&lt;titles&gt;&lt;title&gt;Metabolic pathways related to oxidative stress in patients with hemoglobin H disease and iron overload&lt;/title&gt;&lt;secondary-title&gt;J Clin Lab Anal&lt;/secondary-title&gt;&lt;/titles&gt;&lt;periodical&gt;&lt;full-title&gt;J Clin Lab Anal&lt;/full-title&gt;&lt;/periodical&gt;&lt;pages&gt;261-268&lt;/pages&gt;&lt;volume&gt;28&lt;/volume&gt;&lt;number&gt;4&lt;/number&gt;&lt;dates&gt;&lt;year&gt;2014&lt;/year&gt;&lt;/dates&gt;&lt;isbn&gt;0887-8013&lt;/isbn&gt;&lt;urls&gt;&lt;/urls&gt;&lt;/record&gt;&lt;/Cite&gt;&lt;Cite&gt;&lt;Author&gt;Fibach&lt;/Author&gt;&lt;Year&gt;2010&lt;/Year&gt;&lt;RecNum&gt;4&lt;/RecNum&gt;&lt;record&gt;&lt;rec-number&gt;4&lt;/rec-number&gt;&lt;foreign-keys&gt;&lt;key app="EN" db-id="vwpp5pa0laz0wtewve755txcsrrxa2vxvxp9" timestamp="1755336867"&gt;4&lt;/key&gt;&lt;/foreign-keys&gt;&lt;ref-type name="Journal Article"&gt;17&lt;/ref-type&gt;&lt;contributors&gt;&lt;authors&gt;&lt;author&gt;Fibach, Eitan&lt;/author&gt;&lt;author&gt;Rachmilewitz, Eliezer A %J Annals of the New York Academy of Sciences&lt;/author&gt;&lt;/authors&gt;&lt;/contributors&gt;&lt;titles&gt;&lt;title&gt;The role of antioxidants and iron chelators in the treatment of oxidative stress in thalassemia&lt;/title&gt;&lt;secondary-title&gt;Ann N Y Acad Sci&lt;/secondary-title&gt;&lt;/titles&gt;&lt;periodical&gt;&lt;full-title&gt;Ann N Y Acad Sci&lt;/full-title&gt;&lt;/periodical&gt;&lt;pages&gt;10-16&lt;/pages&gt;&lt;volume&gt;1202&lt;/volume&gt;&lt;number&gt;1&lt;/number&gt;&lt;dates&gt;&lt;year&gt;2010&lt;/year&gt;&lt;/dates&gt;&lt;isbn&gt;0077-8923&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[3, 4]</w:t>
      </w:r>
      <w:r w:rsidR="00870950" w:rsidRPr="000F1953">
        <w:rPr>
          <w:rFonts w:asciiTheme="majorBidi" w:hAnsiTheme="majorBidi" w:cstheme="majorBidi"/>
        </w:rPr>
        <w:fldChar w:fldCharType="end"/>
      </w:r>
      <w:r w:rsidR="00870950" w:rsidRPr="000F1953">
        <w:rPr>
          <w:rFonts w:asciiTheme="majorBidi" w:hAnsiTheme="majorBidi" w:cstheme="majorBidi"/>
        </w:rPr>
        <w:t>.</w:t>
      </w:r>
      <w:r w:rsidR="007E34A2" w:rsidRPr="000F1953">
        <w:rPr>
          <w:rFonts w:asciiTheme="majorBidi" w:hAnsiTheme="majorBidi" w:cstheme="majorBidi"/>
        </w:rPr>
        <w:t xml:space="preserve"> </w:t>
      </w:r>
    </w:p>
    <w:p w14:paraId="5AB90C45" w14:textId="6F7C6C77" w:rsidR="007E34A2" w:rsidRPr="000F1953" w:rsidRDefault="00E70B97" w:rsidP="0009557E">
      <w:pPr>
        <w:pStyle w:val="whitespace-normal"/>
        <w:jc w:val="both"/>
        <w:rPr>
          <w:rFonts w:asciiTheme="majorBidi" w:hAnsiTheme="majorBidi" w:cstheme="majorBidi"/>
        </w:rPr>
      </w:pPr>
      <w:r w:rsidRPr="000F1953">
        <w:rPr>
          <w:rFonts w:asciiTheme="majorBidi" w:hAnsiTheme="majorBidi" w:cstheme="majorBidi"/>
        </w:rPr>
        <w:t xml:space="preserve">Malondialdehyde (MDA), a stable end-product of lipid peroxidation, serves as a reliable biomarker of oxidative injury and has been consistently reported to be elevated in various thalassemia syndromes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&lt;EndNote&gt;&lt;Cite&gt;&lt;Author&gt;Fibach&lt;/Author&gt;&lt;Year&gt;2010&lt;/Year&gt;&lt;RecNum&gt;4&lt;/RecNum&gt;&lt;DisplayText&gt;&lt;style face="superscript"&gt;[4]&lt;/style&gt;&lt;/DisplayText&gt;&lt;record&gt;&lt;rec-number&gt;4&lt;/rec-number&gt;&lt;foreign-keys&gt;&lt;key app="EN" db-id="vwpp5pa0laz0wtewve755txcsrrxa2vxvxp9" timestamp="1755336867"&gt;4&lt;/key&gt;&lt;/foreign-keys&gt;&lt;ref-type name="Journal Article"&gt;17&lt;/ref-type&gt;&lt;contributors&gt;&lt;authors&gt;&lt;author&gt;Fibach, Eitan&lt;/author&gt;&lt;author&gt;Rachmilewitz, Eliezer A %J Annals of the New York Academy of Sciences&lt;/author&gt;&lt;/authors&gt;&lt;/contributors&gt;&lt;titles&gt;&lt;title&gt;The role of antioxidants and iron chelators in the treatment of oxidative stress in thalassemia&lt;/title&gt;&lt;secondary-title&gt;Ann N Y Acad Sci&lt;/secondary-title&gt;&lt;/titles&gt;&lt;periodical&gt;&lt;full-title&gt;Ann N Y Acad Sci&lt;/full-title&gt;&lt;/periodical&gt;&lt;pages&gt;10-16&lt;/pages&gt;&lt;volume&gt;1202&lt;/volume&gt;&lt;number&gt;1&lt;/number&gt;&lt;dates&gt;&lt;year&gt;2010&lt;/year&gt;&lt;/dates&gt;&lt;isbn&gt;0077-8923&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[4]</w:t>
      </w:r>
      <w:r w:rsidR="00870950" w:rsidRPr="000F1953">
        <w:rPr>
          <w:rFonts w:asciiTheme="majorBidi" w:hAnsiTheme="majorBidi" w:cstheme="majorBidi"/>
        </w:rPr>
        <w:fldChar w:fldCharType="end"/>
      </w:r>
      <w:r w:rsidR="00870950" w:rsidRPr="000F1953">
        <w:rPr>
          <w:rFonts w:asciiTheme="majorBidi" w:hAnsiTheme="majorBidi" w:cstheme="majorBidi"/>
        </w:rPr>
        <w:t>.</w:t>
      </w:r>
      <w:r w:rsidR="007E34A2" w:rsidRPr="000F1953">
        <w:rPr>
          <w:rFonts w:asciiTheme="majorBidi" w:hAnsiTheme="majorBidi" w:cstheme="majorBidi"/>
        </w:rPr>
        <w:t xml:space="preserve"> </w:t>
      </w:r>
      <w:r w:rsidRPr="000F1953">
        <w:rPr>
          <w:rFonts w:asciiTheme="majorBidi" w:hAnsiTheme="majorBidi" w:cstheme="majorBidi"/>
        </w:rPr>
        <w:t xml:space="preserve">Furthermore, several studies have demonstrated significant correlations between MDA levels and clinical parameters, including serum ferritin, inflammatory markers, and transfusion frequency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&lt;EndNote&gt;&lt;Cite&gt;&lt;Author&gt;Walter&lt;/Author&gt;&lt;Year&gt;2006&lt;/Year&gt;&lt;RecNum&gt;5&lt;/RecNum&gt;&lt;DisplayText&gt;&lt;style face="superscript"&gt;[5]&lt;/style&gt;&lt;/DisplayText&gt;&lt;record&gt;&lt;rec-number&gt;5&lt;/rec-number&gt;&lt;foreign-keys&gt;&lt;key app="EN" db-id="vwpp5pa0laz0wtewve755txcsrrxa2vxvxp9" timestamp="1755336868"&gt;5&lt;/key&gt;&lt;/foreign-keys&gt;&lt;ref-type name="Journal Article"&gt;17&lt;/ref-type&gt;&lt;contributors&gt;&lt;authors&gt;&lt;author&gt;Walter, Patrick B&lt;/author&gt;&lt;author&gt;Fung, Ellen B&lt;/author&gt;&lt;author&gt;Killilea, David W&lt;/author&gt;&lt;author&gt;Jiang, Qing&lt;/author&gt;&lt;author&gt;Hudes, Mark&lt;/author&gt;&lt;author&gt;Madden, Jacqueline&lt;/author&gt;&lt;author&gt;Porter, John&lt;/author&gt;&lt;author&gt;Evans, Patricia&lt;/author&gt;&lt;author&gt;Vichinsky, Elliott&lt;/author&gt;&lt;author&gt;Harmatz, Paul %J British journal of haematology&lt;/author&gt;&lt;/authors&gt;&lt;/contributors&gt;&lt;titles&gt;&lt;title&gt;Oxidative stress and inflammation in iron</w:instrText>
      </w:r>
      <w:r w:rsidR="0009557E">
        <w:rPr>
          <w:rFonts w:ascii="Cambria Math" w:hAnsi="Cambria Math" w:cs="Cambria Math"/>
        </w:rPr>
        <w:instrText>‐</w:instrText>
      </w:r>
      <w:r w:rsidR="0009557E">
        <w:rPr>
          <w:rFonts w:asciiTheme="majorBidi" w:hAnsiTheme="majorBidi" w:cstheme="majorBidi"/>
        </w:rPr>
        <w:instrText xml:space="preserve">overloaded patients with </w:instrText>
      </w:r>
      <w:r w:rsidR="0009557E">
        <w:instrText>β</w:instrText>
      </w:r>
      <w:r w:rsidR="0009557E">
        <w:rPr>
          <w:rFonts w:ascii="Cambria Math" w:hAnsi="Cambria Math" w:cs="Cambria Math"/>
        </w:rPr>
        <w:instrText>‐</w:instrText>
      </w:r>
      <w:r w:rsidR="0009557E">
        <w:rPr>
          <w:rFonts w:asciiTheme="majorBidi" w:hAnsiTheme="majorBidi" w:cstheme="majorBidi"/>
        </w:rPr>
        <w:instrText>thalassaemia or sickle cell disease&lt;/title&gt;&lt;secondary-title&gt;Br J Haematol&lt;/secondary-title&gt;&lt;/titles&gt;&lt;periodical&gt;&lt;full-title&gt;Br J Haematol&lt;/full-title&gt;&lt;/periodical&gt;&lt;pages&gt;254-263&lt;/pages&gt;&lt;volume&gt;135&lt;/volume&gt;&lt;number&gt;2&lt;/number&gt;&lt;dates&gt;&lt;year&gt;2006&lt;/year&gt;&lt;/dates&gt;&lt;isbn&gt;0007-1048&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[5]</w:t>
      </w:r>
      <w:r w:rsidR="00870950" w:rsidRPr="000F1953">
        <w:rPr>
          <w:rFonts w:asciiTheme="majorBidi" w:hAnsiTheme="majorBidi" w:cstheme="majorBidi"/>
        </w:rPr>
        <w:fldChar w:fldCharType="end"/>
      </w:r>
      <w:r w:rsidR="00870950" w:rsidRPr="000F1953">
        <w:rPr>
          <w:rFonts w:asciiTheme="majorBidi" w:hAnsiTheme="majorBidi" w:cstheme="majorBidi"/>
        </w:rPr>
        <w:t>.</w:t>
      </w:r>
      <w:r w:rsidR="007E34A2" w:rsidRPr="000F1953">
        <w:rPr>
          <w:rFonts w:asciiTheme="majorBidi" w:hAnsiTheme="majorBidi" w:cstheme="majorBidi"/>
        </w:rPr>
        <w:t xml:space="preserve"> </w:t>
      </w:r>
      <w:r w:rsidR="00ED6766" w:rsidRPr="000F1953">
        <w:rPr>
          <w:rFonts w:asciiTheme="majorBidi" w:hAnsiTheme="majorBidi" w:cstheme="majorBidi"/>
        </w:rPr>
        <w:t xml:space="preserve"> </w:t>
      </w:r>
      <w:r w:rsidRPr="000F1953">
        <w:rPr>
          <w:rFonts w:asciiTheme="majorBidi" w:hAnsiTheme="majorBidi" w:cstheme="majorBidi"/>
        </w:rPr>
        <w:t xml:space="preserve">Importantly, emerging evidence suggests that non-deletional genotypes in Hb H disease are associated with higher oxidative stress levels, potentially contributing to more severe clinical manifestations in these patients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&lt;EndNote&gt;&lt;Cite&gt;&lt;Author&gt;Chiou&lt;/Author&gt;&lt;Year&gt;2014&lt;/Year&gt;&lt;RecNum&gt;3&lt;/RecNum&gt;&lt;DisplayText&gt;&lt;style face="superscript"&gt;[3]&lt;/style&gt;&lt;/DisplayText&gt;&lt;record&gt;&lt;rec-number&gt;3&lt;/rec-number&gt;&lt;foreign-keys&gt;&lt;key app="EN" db-id="vwpp5pa0laz0wtewve755txcsrrxa2vxvxp9" timestamp="1755336866"&gt;3&lt;/key&gt;&lt;/foreign-keys&gt;&lt;ref-type name="Journal Article"&gt;17&lt;/ref-type&gt;&lt;contributors&gt;&lt;authors&gt;&lt;author&gt;Chiou, Shyh</w:instrText>
      </w:r>
      <w:r w:rsidR="0009557E">
        <w:rPr>
          <w:rFonts w:ascii="Cambria Math" w:hAnsi="Cambria Math" w:cs="Cambria Math"/>
        </w:rPr>
        <w:instrText>‐</w:instrText>
      </w:r>
      <w:r w:rsidR="0009557E">
        <w:rPr>
          <w:rFonts w:asciiTheme="majorBidi" w:hAnsiTheme="majorBidi" w:cstheme="majorBidi"/>
        </w:rPr>
        <w:instrText>Shin&lt;/author&gt;&lt;author&gt;Tsao, Chao</w:instrText>
      </w:r>
      <w:r w:rsidR="0009557E">
        <w:rPr>
          <w:rFonts w:ascii="Cambria Math" w:hAnsi="Cambria Math" w:cs="Cambria Math"/>
        </w:rPr>
        <w:instrText>‐</w:instrText>
      </w:r>
      <w:r w:rsidR="0009557E">
        <w:rPr>
          <w:rFonts w:asciiTheme="majorBidi" w:hAnsiTheme="majorBidi" w:cstheme="majorBidi"/>
        </w:rPr>
        <w:instrText>Jung&lt;/author&gt;&lt;author&gt;Tsai, Shih</w:instrText>
      </w:r>
      <w:r w:rsidR="0009557E">
        <w:rPr>
          <w:rFonts w:ascii="Cambria Math" w:hAnsi="Cambria Math" w:cs="Cambria Math"/>
        </w:rPr>
        <w:instrText>‐</w:instrText>
      </w:r>
      <w:r w:rsidR="0009557E">
        <w:rPr>
          <w:rFonts w:asciiTheme="majorBidi" w:hAnsiTheme="majorBidi" w:cstheme="majorBidi"/>
        </w:rPr>
        <w:instrText>Meng&lt;/author&gt;&lt;author&gt;Wu, Ye</w:instrText>
      </w:r>
      <w:r w:rsidR="0009557E">
        <w:rPr>
          <w:rFonts w:ascii="Cambria Math" w:hAnsi="Cambria Math" w:cs="Cambria Math"/>
        </w:rPr>
        <w:instrText>‐</w:instrText>
      </w:r>
      <w:r w:rsidR="0009557E">
        <w:rPr>
          <w:rFonts w:asciiTheme="majorBidi" w:hAnsiTheme="majorBidi" w:cstheme="majorBidi"/>
        </w:rPr>
        <w:instrText>Ru&lt;/author&gt;&lt;author&gt;Liao, Yu</w:instrText>
      </w:r>
      <w:r w:rsidR="0009557E">
        <w:rPr>
          <w:rFonts w:ascii="Cambria Math" w:hAnsi="Cambria Math" w:cs="Cambria Math"/>
        </w:rPr>
        <w:instrText>‐</w:instrText>
      </w:r>
      <w:r w:rsidR="0009557E">
        <w:rPr>
          <w:rFonts w:asciiTheme="majorBidi" w:hAnsiTheme="majorBidi" w:cstheme="majorBidi"/>
        </w:rPr>
        <w:instrText>Mei&lt;/author&gt;&lt;author&gt;Lin, Pei</w:instrText>
      </w:r>
      <w:r w:rsidR="0009557E">
        <w:rPr>
          <w:rFonts w:ascii="Cambria Math" w:hAnsi="Cambria Math" w:cs="Cambria Math"/>
        </w:rPr>
        <w:instrText>‐</w:instrText>
      </w:r>
      <w:r w:rsidR="0009557E">
        <w:rPr>
          <w:rFonts w:asciiTheme="majorBidi" w:hAnsiTheme="majorBidi" w:cstheme="majorBidi"/>
        </w:rPr>
        <w:instrText>Chin&lt;/author&gt;&lt;author&gt;Tsai, Li</w:instrText>
      </w:r>
      <w:r w:rsidR="0009557E">
        <w:rPr>
          <w:rFonts w:ascii="Cambria Math" w:hAnsi="Cambria Math" w:cs="Cambria Math"/>
        </w:rPr>
        <w:instrText>‐</w:instrText>
      </w:r>
      <w:r w:rsidR="0009557E">
        <w:rPr>
          <w:rFonts w:asciiTheme="majorBidi" w:hAnsiTheme="majorBidi" w:cstheme="majorBidi"/>
        </w:rPr>
        <w:instrText>Yu %J Journal of Clinical Laboratory Analysis&lt;/author&gt;&lt;/authors&gt;&lt;/contributors&gt;&lt;titles&gt;&lt;title&gt;Metabolic pathways related to oxidative stress in patients with hemoglobin H disease and iron overload&lt;/title&gt;&lt;secondary-title&gt;J Clin Lab Anal&lt;/secondary-title&gt;&lt;/titles&gt;&lt;periodical&gt;&lt;full-title&gt;J Clin Lab Anal&lt;/full-title&gt;&lt;/periodical&gt;&lt;pages&gt;261-268&lt;/pages&gt;&lt;volume&gt;28&lt;/volume&gt;&lt;number&gt;4&lt;/number&gt;&lt;dates&gt;&lt;year&gt;2014&lt;/year&gt;&lt;/dates&gt;&lt;isbn&gt;0887-8013&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[3]</w:t>
      </w:r>
      <w:r w:rsidR="00870950" w:rsidRPr="000F1953">
        <w:rPr>
          <w:rFonts w:asciiTheme="majorBidi" w:hAnsiTheme="majorBidi" w:cstheme="majorBidi"/>
        </w:rPr>
        <w:fldChar w:fldCharType="end"/>
      </w:r>
      <w:r w:rsidR="00870950" w:rsidRPr="000F1953">
        <w:rPr>
          <w:rFonts w:asciiTheme="majorBidi" w:hAnsiTheme="majorBidi" w:cstheme="majorBidi"/>
        </w:rPr>
        <w:t>.</w:t>
      </w:r>
      <w:r w:rsidRPr="000F1953">
        <w:rPr>
          <w:rFonts w:asciiTheme="majorBidi" w:hAnsiTheme="majorBidi" w:cstheme="majorBidi"/>
          <w:rtl/>
        </w:rPr>
        <w:t xml:space="preserve"> </w:t>
      </w:r>
      <w:r w:rsidRPr="000F1953">
        <w:rPr>
          <w:rFonts w:asciiTheme="majorBidi" w:hAnsiTheme="majorBidi" w:cstheme="majorBidi"/>
        </w:rPr>
        <w:t>Elevated MDA levels may reflect the oxidative damage mediated by excess free iron, a common finding among chronically transfused thalassemia patients</w:t>
      </w:r>
      <w:r w:rsidR="00394C47" w:rsidRPr="000F1953">
        <w:rPr>
          <w:rFonts w:asciiTheme="majorBidi" w:hAnsiTheme="majorBidi" w:cstheme="majorBidi"/>
        </w:rPr>
        <w:t xml:space="preserve"> </w:t>
      </w:r>
      <w:r w:rsidR="00394C47" w:rsidRPr="000F1953">
        <w:rPr>
          <w:rFonts w:asciiTheme="majorBidi" w:hAnsiTheme="majorBidi" w:cstheme="majorBidi"/>
          <w:lang w:bidi="fa-IR"/>
        </w:rPr>
        <w:fldChar w:fldCharType="begin"/>
      </w:r>
      <w:r w:rsidR="0009557E">
        <w:rPr>
          <w:rFonts w:asciiTheme="majorBidi" w:hAnsiTheme="majorBidi" w:cstheme="majorBidi"/>
          <w:lang w:bidi="fa-IR"/>
        </w:rPr>
        <w:instrText xml:space="preserve"> ADDIN EN.CITE &lt;EndNote&gt;&lt;Cite&gt;&lt;Author&gt;Yao&lt;/Author&gt;&lt;Year&gt;2019&lt;/Year&gt;&lt;RecNum&gt;6&lt;/RecNum&gt;&lt;DisplayText&gt;&lt;style face="superscript"&gt;[6]&lt;/style&gt;&lt;/DisplayText&gt;&lt;record&gt;&lt;rec-number&gt;6&lt;/rec-number&gt;&lt;foreign-keys&gt;&lt;key app="EN" db-id="vwpp5pa0laz0wtewve755txcsrrxa2vxvxp9" timestamp="1755336868"&gt;6&lt;/key&gt;&lt;/foreign-keys&gt;&lt;ref-type name="Journal Article"&gt;17&lt;/ref-type&gt;&lt;contributors&gt;&lt;authors&gt;&lt;author&gt;Yao, Xi&lt;/author&gt;&lt;author&gt;Xu, Lu-Hong&lt;/author&gt;&lt;author&gt;Xu, Hong-Gui&lt;/author&gt;&lt;author&gt;Li, Xin-Yu&lt;/author&gt;&lt;author&gt;Liu, Yong&lt;/author&gt;&lt;author&gt;Fang, Jian-Pei %J Hemoglobin&lt;/author&gt;&lt;/authors&gt;&lt;/contributors&gt;&lt;titles&gt;&lt;title&gt;Iron metabolism and oxidative status in patients with Hb H disease&lt;/title&gt;&lt;secondary-title&gt;Hemoglobin&lt;/secondary-title&gt;&lt;/titles&gt;&lt;periodical&gt;&lt;full-title&gt;Hemoglobin&lt;/full-title&gt;&lt;/periodical&gt;&lt;pages&gt;38-41&lt;/pages&gt;&lt;volume&gt;43&lt;/volume&gt;&lt;number&gt;1&lt;/number&gt;&lt;dates&gt;&lt;year&gt;2019&lt;/year&gt;&lt;/dates&gt;&lt;isbn&gt;0363-0269&lt;/isbn&gt;&lt;urls&gt;&lt;/urls&gt;&lt;/record&gt;&lt;/Cite&gt;&lt;/EndNote&gt;</w:instrText>
      </w:r>
      <w:r w:rsidR="00394C47" w:rsidRPr="000F1953">
        <w:rPr>
          <w:rFonts w:asciiTheme="majorBidi" w:hAnsiTheme="majorBidi" w:cstheme="majorBidi"/>
          <w:lang w:bidi="fa-IR"/>
        </w:rPr>
        <w:fldChar w:fldCharType="separate"/>
      </w:r>
      <w:r w:rsidR="0009557E" w:rsidRPr="0009557E">
        <w:rPr>
          <w:rFonts w:asciiTheme="majorBidi" w:hAnsiTheme="majorBidi" w:cstheme="majorBidi"/>
          <w:noProof/>
          <w:vertAlign w:val="superscript"/>
          <w:lang w:bidi="fa-IR"/>
        </w:rPr>
        <w:t>[6]</w:t>
      </w:r>
      <w:r w:rsidR="00394C47" w:rsidRPr="000F1953">
        <w:rPr>
          <w:rFonts w:asciiTheme="majorBidi" w:hAnsiTheme="majorBidi" w:cstheme="majorBidi"/>
          <w:lang w:bidi="fa-IR"/>
        </w:rPr>
        <w:fldChar w:fldCharType="end"/>
      </w:r>
      <w:r w:rsidR="00394C47" w:rsidRPr="000F1953">
        <w:rPr>
          <w:rFonts w:asciiTheme="majorBidi" w:hAnsiTheme="majorBidi" w:cstheme="majorBidi"/>
          <w:lang w:bidi="fa-IR"/>
        </w:rPr>
        <w:t>.</w:t>
      </w:r>
    </w:p>
    <w:p w14:paraId="08189527" w14:textId="59C27667" w:rsidR="007E34A2" w:rsidRPr="000F1953" w:rsidRDefault="006E6777" w:rsidP="0009557E">
      <w:pPr>
        <w:pStyle w:val="whitespace-normal"/>
        <w:jc w:val="both"/>
        <w:rPr>
          <w:rFonts w:asciiTheme="majorBidi" w:hAnsiTheme="majorBidi" w:cstheme="majorBidi"/>
        </w:rPr>
      </w:pPr>
      <w:r w:rsidRPr="000F1953">
        <w:rPr>
          <w:rFonts w:asciiTheme="majorBidi" w:hAnsiTheme="majorBidi" w:cstheme="majorBidi"/>
        </w:rPr>
        <w:t>The heightened oxidative environment in Hb H disease appears to be intricately linked with dysregulated erythropoiesis, as reflected by emerging biomarkers such as Growth Differentiation Factor-15 (GDF-15). GDF-15 is a stress-responsive cytokine upregulated during late-stage erythroid maturation and has gained recognition as a sensitive marker of ineffective erythropoiesis and iron dysregulation in hemoglobinopathies</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&lt;EndNote&gt;&lt;Cite&gt;&lt;Author&gt;Piolatto&lt;/Author&gt;&lt;Year&gt;2021&lt;/Year&gt;&lt;RecNum&gt;7&lt;/RecNum&gt;&lt;DisplayText&gt;&lt;style face="superscript"&gt;[7]&lt;/style&gt;&lt;/DisplayText&gt;&lt;record&gt;&lt;rec-number&gt;7&lt;/rec-number&gt;&lt;foreign-keys&gt;&lt;key app="EN" db-id="vwpp5pa0laz0wtewve755txcsrrxa2vxvxp9" timestamp="1755336868"&gt;7&lt;/key&gt;&lt;/foreign-keys&gt;&lt;ref-type name="Journal Article"&gt;17&lt;/ref-type&gt;&lt;contributors&gt;&lt;authors&gt;&lt;author&gt;Piolatto, Andrea&lt;/author&gt;&lt;author&gt;Teti, Martina&lt;/author&gt;&lt;author&gt;Tesio, Nicolò&lt;/author&gt;&lt;author&gt;Ferrero, Giovanni Battista&lt;/author&gt;&lt;author&gt;Piga, Antonio&lt;/author&gt;&lt;author&gt;Longo, Filomena %J Blood&lt;/author&gt;&lt;/authors&gt;&lt;/contributors&gt;&lt;titles&gt;&lt;title&gt;Serum GDF15 in β-thalassemia: a quantitative marker of ineffective erythropoiesis?&lt;/title&gt;&lt;secondary-title&gt;Blood&lt;/secondary-title&gt;&lt;/titles&gt;&lt;periodical&gt;&lt;full-title&gt;Blood&lt;/full-title&gt;&lt;/periodical&gt;&lt;pages&gt;2017&lt;/pages&gt;&lt;volume&gt;138&lt;/volume&gt;&lt;dates&gt;&lt;year&gt;2021&lt;/year&gt;&lt;/dates&gt;&lt;isbn&gt;0006-4971&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[7]</w:t>
      </w:r>
      <w:r w:rsidR="00870950" w:rsidRPr="000F1953">
        <w:rPr>
          <w:rFonts w:asciiTheme="majorBidi" w:hAnsiTheme="majorBidi" w:cstheme="majorBidi"/>
        </w:rPr>
        <w:fldChar w:fldCharType="end"/>
      </w:r>
      <w:r w:rsidR="00870950" w:rsidRPr="000F1953">
        <w:rPr>
          <w:rFonts w:asciiTheme="majorBidi" w:hAnsiTheme="majorBidi" w:cstheme="majorBidi"/>
        </w:rPr>
        <w:t>.</w:t>
      </w:r>
      <w:r w:rsidR="007E34A2" w:rsidRPr="000F1953">
        <w:rPr>
          <w:rFonts w:asciiTheme="majorBidi" w:hAnsiTheme="majorBidi" w:cstheme="majorBidi"/>
        </w:rPr>
        <w:t xml:space="preserve"> </w:t>
      </w:r>
      <w:r w:rsidRPr="000F1953">
        <w:rPr>
          <w:rFonts w:asciiTheme="majorBidi" w:hAnsiTheme="majorBidi" w:cstheme="majorBidi"/>
        </w:rPr>
        <w:t xml:space="preserve">Elevated GDF-15 levels contribute to systemic iron overload by suppressing hepcidin expression, thereby increasing intestinal iron absorption even in the presence of sufficient or excessive iron stores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&lt;EndNote&gt;&lt;Cite&gt;&lt;Author&gt;Tanno&lt;/Author&gt;&lt;Year&gt;2007&lt;/Year&gt;&lt;RecNum&gt;8&lt;/RecNum&gt;&lt;DisplayText&gt;&lt;style face="superscript"&gt;[8]&lt;/style&gt;&lt;/DisplayText&gt;&lt;record&gt;&lt;rec-number&gt;8&lt;/rec-number&gt;&lt;foreign-keys&gt;&lt;key app="EN" db-id="vwpp5pa0laz0wtewve755txcsrrxa2vxvxp9" timestamp="1755336869"&gt;8&lt;/key&gt;&lt;/foreign-keys&gt;&lt;ref-type name="Journal Article"&gt;17&lt;/ref-type&gt;&lt;contributors&gt;&lt;authors&gt;&lt;author&gt;Tanno, Toshihiko&lt;/author&gt;&lt;author&gt;Bhanu, Natarajan V&lt;/author&gt;&lt;author&gt;Oneal, Patricia A&lt;/author&gt;&lt;author&gt;Goh, Sung-Ho&lt;/author&gt;&lt;author&gt;Staker, Pamela&lt;/author&gt;&lt;author&gt;Lee, Y Terry&lt;/author&gt;&lt;author&gt;Moroney, John W&lt;/author&gt;&lt;author&gt;Reed, Christopher H&lt;/author&gt;&lt;author&gt;Luban, Naomi LC&lt;/author&gt;&lt;author&gt;Wang, Rui-Hong %J Nature medicine&lt;/author&gt;&lt;/authors&gt;&lt;/contributors&gt;&lt;titles&gt;&lt;title&gt;High levels of GDF15 in thalassemia suppress expression of the iron regulatory protein hepcidin&lt;/title&gt;&lt;secondary-title&gt;Nat Med&lt;/secondary-title&gt;&lt;/titles&gt;&lt;periodical&gt;&lt;full-title&gt;Nat Med&lt;/full-title&gt;&lt;/periodical&gt;&lt;pages&gt;1096-1101&lt;/pages&gt;&lt;volume&gt;13&lt;/volume&gt;&lt;number&gt;9&lt;/number&gt;&lt;dates&gt;&lt;year&gt;2007&lt;/year&gt;&lt;/dates&gt;&lt;isbn&gt;1078-8956&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[8]</w:t>
      </w:r>
      <w:r w:rsidR="00870950" w:rsidRPr="000F1953">
        <w:rPr>
          <w:rFonts w:asciiTheme="majorBidi" w:hAnsiTheme="majorBidi" w:cstheme="majorBidi"/>
        </w:rPr>
        <w:fldChar w:fldCharType="end"/>
      </w:r>
      <w:r w:rsidR="00870950" w:rsidRPr="000F1953">
        <w:rPr>
          <w:rFonts w:asciiTheme="majorBidi" w:hAnsiTheme="majorBidi" w:cstheme="majorBidi"/>
        </w:rPr>
        <w:t>.</w:t>
      </w:r>
      <w:r w:rsidR="007E34A2" w:rsidRPr="000F1953">
        <w:rPr>
          <w:rFonts w:asciiTheme="majorBidi" w:hAnsiTheme="majorBidi" w:cstheme="majorBidi"/>
        </w:rPr>
        <w:t xml:space="preserve"> </w:t>
      </w:r>
      <w:r w:rsidR="006815E5" w:rsidRPr="000F1953">
        <w:rPr>
          <w:rFonts w:asciiTheme="majorBidi" w:hAnsiTheme="majorBidi" w:cstheme="majorBidi"/>
        </w:rPr>
        <w:t>Recent evidence supports the clinical utility of GDF-15 as a sensitive biomarker in both β- and α-thalassemia, particularly in monitoring ineffective erythropoiesis and iron dysregulation</w:t>
      </w:r>
      <w:r w:rsidR="007E34A2" w:rsidRPr="000F1953">
        <w:rPr>
          <w:rFonts w:asciiTheme="majorBidi" w:hAnsiTheme="majorBidi" w:cstheme="majorBidi"/>
        </w:rPr>
        <w:t xml:space="preserve">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&lt;EndNote&gt;&lt;Cite&gt;&lt;Author&gt;Musallam&lt;/Author&gt;&lt;Year&gt;2011&lt;/Year&gt;&lt;RecNum&gt;9&lt;/RecNum&gt;&lt;DisplayText&gt;&lt;style face="superscript"&gt;[9]&lt;/style&gt;&lt;/DisplayText&gt;&lt;record&gt;&lt;rec-number&gt;9&lt;/rec-number&gt;&lt;foreign-keys&gt;&lt;key app="EN" db-id="vwpp5pa0laz0wtewve755txcsrrxa2vxvxp9" timestamp="1755336869"&gt;9&lt;/key&gt;&lt;/foreign-keys&gt;&lt;ref-type name="Journal Article"&gt;17&lt;/ref-type&gt;&lt;contributors&gt;&lt;authors&gt;&lt;author&gt;Musallam, Khaled M&lt;/author&gt;&lt;author&gt;Taher, Ali T&lt;/author&gt;&lt;author&gt;Duca, Lorena&lt;/author&gt;&lt;author&gt;Cesaretti, Claudia&lt;/author&gt;&lt;author&gt;Halawi, Racha&lt;/author&gt;&lt;author&gt;Cappellini, Maria Domenica %J Blood Cells, Molecules,&lt;/author&gt;&lt;author&gt;Diseases&lt;/author&gt;&lt;/authors&gt;&lt;/contributors&gt;&lt;titles&gt;&lt;title&gt;Levels of growth differentiation factor-15 are high and correlate with clinical severity in transfusion-independent patients with β thalassemia intermedia&lt;/title&gt;&lt;secondary-title&gt;Blood Cells Mol Dis&lt;/secondary-title&gt;&lt;/titles&gt;&lt;periodical&gt;&lt;full-title&gt;Blood Cells Mol Dis&lt;/full-title&gt;&lt;/periodical&gt;&lt;pages&gt;232-234&lt;/pages&gt;&lt;volume&gt;47&lt;/volume&gt;&lt;number&gt;4&lt;/number&gt;&lt;dates&gt;&lt;year&gt;2011&lt;/year&gt;&lt;/dates&gt;&lt;isbn&gt;1079-9796&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[9]</w:t>
      </w:r>
      <w:r w:rsidR="00870950" w:rsidRPr="000F1953">
        <w:rPr>
          <w:rFonts w:asciiTheme="majorBidi" w:hAnsiTheme="majorBidi" w:cstheme="majorBidi"/>
        </w:rPr>
        <w:fldChar w:fldCharType="end"/>
      </w:r>
      <w:r w:rsidR="00870950" w:rsidRPr="000F1953">
        <w:rPr>
          <w:rFonts w:asciiTheme="majorBidi" w:hAnsiTheme="majorBidi" w:cstheme="majorBidi"/>
        </w:rPr>
        <w:t>.</w:t>
      </w:r>
      <w:r w:rsidR="007E34A2" w:rsidRPr="000F1953">
        <w:rPr>
          <w:rFonts w:asciiTheme="majorBidi" w:hAnsiTheme="majorBidi" w:cstheme="majorBidi"/>
        </w:rPr>
        <w:t xml:space="preserve"> </w:t>
      </w:r>
      <w:r w:rsidRPr="000F1953">
        <w:rPr>
          <w:rFonts w:asciiTheme="majorBidi" w:hAnsiTheme="majorBidi" w:cstheme="majorBidi"/>
        </w:rPr>
        <w:t>Notably, GDF-15 has shown positive correlations with oxidative stress markers, serum ferritin, and reticulocyte count, suggesting its potential role in mediating the interplay between iron homeostasis, oxidative injury, and erythroid drive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&lt;EndNote&gt;&lt;Cite&gt;&lt;Author&gt;Youssry&lt;/Author&gt;&lt;Year&gt;2024&lt;/Year&gt;&lt;RecNum&gt;10&lt;/RecNum&gt;&lt;DisplayText&gt;&lt;style face="superscript"&gt;[10]&lt;/style&gt;&lt;/DisplayText&gt;&lt;record&gt;&lt;rec-number&gt;10&lt;/rec-number&gt;&lt;foreign-keys&gt;&lt;key app="EN" db-id="vwpp5pa0laz0wtewve755txcsrrxa2vxvxp9" timestamp="1755336869"&gt;10&lt;/key&gt;&lt;/foreign-keys&gt;&lt;ref-type name="Journal Article"&gt;17&lt;/ref-type&gt;&lt;contributors&gt;&lt;authors&gt;&lt;author&gt;Youssry, Ilham&lt;/author&gt;&lt;author&gt;Samy, Rania M&lt;/author&gt;&lt;author&gt;AbdelMohsen, Mohamed&lt;/author&gt;&lt;author&gt;Salama, Niveen M %J Pediatric Research&lt;/author&gt;&lt;/authors&gt;&lt;/contributors&gt;&lt;titles&gt;&lt;title&gt;The association between growth differentiation factor-15, erythroferrone, and iron status in thalassemic patients&lt;/title&gt;&lt;secondary-title&gt;Pediatr Res&lt;/secondary-title&gt;&lt;/titles&gt;&lt;periodical&gt;&lt;full-title&gt;Pediatr Res&lt;/full-title&gt;&lt;/periodical&gt;&lt;pages&gt;1095-1100&lt;/pages&gt;&lt;volume&gt;95&lt;/volume&gt;&lt;number&gt;4&lt;/number&gt;&lt;dates&gt;&lt;year&gt;2024&lt;/year&gt;&lt;/dates&gt;&lt;isbn&gt;0031-3998&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[10]</w:t>
      </w:r>
      <w:r w:rsidR="00870950" w:rsidRPr="000F1953">
        <w:rPr>
          <w:rFonts w:asciiTheme="majorBidi" w:hAnsiTheme="majorBidi" w:cstheme="majorBidi"/>
        </w:rPr>
        <w:fldChar w:fldCharType="end"/>
      </w:r>
      <w:r w:rsidR="00870950" w:rsidRPr="000F1953">
        <w:rPr>
          <w:rFonts w:asciiTheme="majorBidi" w:hAnsiTheme="majorBidi" w:cstheme="majorBidi"/>
        </w:rPr>
        <w:t>.</w:t>
      </w:r>
      <w:r w:rsidR="006815E5" w:rsidRPr="000F1953">
        <w:rPr>
          <w:rFonts w:asciiTheme="majorBidi" w:hAnsiTheme="majorBidi" w:cstheme="majorBidi"/>
          <w:rtl/>
        </w:rPr>
        <w:t xml:space="preserve"> </w:t>
      </w:r>
    </w:p>
    <w:p w14:paraId="321EA3BA" w14:textId="63EBFA3C" w:rsidR="007E34A2" w:rsidRPr="000F1953" w:rsidRDefault="006E6777" w:rsidP="0009557E">
      <w:pPr>
        <w:pStyle w:val="whitespace-normal"/>
        <w:jc w:val="both"/>
        <w:rPr>
          <w:rFonts w:asciiTheme="majorBidi" w:hAnsiTheme="majorBidi" w:cstheme="majorBidi"/>
        </w:rPr>
      </w:pPr>
      <w:r w:rsidRPr="000F1953">
        <w:rPr>
          <w:rFonts w:asciiTheme="majorBidi" w:hAnsiTheme="majorBidi" w:cstheme="majorBidi"/>
        </w:rPr>
        <w:t xml:space="preserve">Despite growing evidence, the relationship between specific α-globin genotypes, oxidative stress markers, and erythropoietic activity in Hb H disease remains incompletely understood. The molecular mechanisms linking these genetic variants to downstream biochemical alterations and clinical severity are yet to be fully elucidated. A deeper understanding of these interactions may help shift the current management paradigm from one primarily based on transfusion needs to a more refined, biomarker-driven approach incorporating both molecular and biochemical stratification. </w:t>
      </w:r>
      <w:r w:rsidR="00870950" w:rsidRPr="000F1953">
        <w:rPr>
          <w:rFonts w:asciiTheme="majorBidi" w:hAnsiTheme="majorBidi" w:cstheme="majorBidi"/>
        </w:rPr>
        <w:fldChar w:fldCharType="begin"/>
      </w:r>
      <w:r w:rsidR="0009557E">
        <w:rPr>
          <w:rFonts w:asciiTheme="majorBidi" w:hAnsiTheme="majorBidi" w:cstheme="majorBidi"/>
        </w:rPr>
        <w:instrText xml:space="preserve"> ADDIN EN.CITE &lt;EndNote&gt;&lt;Cite&gt;&lt;Author&gt;Chiou&lt;/Author&gt;&lt;Year&gt;2014&lt;/Year&gt;&lt;RecNum&gt;3&lt;/RecNum&gt;&lt;DisplayText&gt;&lt;style face="superscript"&gt;[3]&lt;/style&gt;&lt;/DisplayText&gt;&lt;record&gt;&lt;rec-number&gt;3&lt;/rec-number&gt;&lt;foreign-keys&gt;&lt;key app="EN" db-id="vwpp5pa0laz0wtewve755txcsrrxa2vxvxp9" timestamp="1755336866"&gt;3&lt;/key&gt;&lt;/foreign-keys&gt;&lt;ref-type name="Journal Article"&gt;17&lt;/ref-type&gt;&lt;contributors&gt;&lt;authors&gt;&lt;author&gt;Chiou, Shyh</w:instrText>
      </w:r>
      <w:r w:rsidR="0009557E">
        <w:rPr>
          <w:rFonts w:ascii="Cambria Math" w:hAnsi="Cambria Math" w:cs="Cambria Math"/>
        </w:rPr>
        <w:instrText>‐</w:instrText>
      </w:r>
      <w:r w:rsidR="0009557E">
        <w:rPr>
          <w:rFonts w:asciiTheme="majorBidi" w:hAnsiTheme="majorBidi" w:cstheme="majorBidi"/>
        </w:rPr>
        <w:instrText>Shin&lt;/author&gt;&lt;author&gt;Tsao, Chao</w:instrText>
      </w:r>
      <w:r w:rsidR="0009557E">
        <w:rPr>
          <w:rFonts w:ascii="Cambria Math" w:hAnsi="Cambria Math" w:cs="Cambria Math"/>
        </w:rPr>
        <w:instrText>‐</w:instrText>
      </w:r>
      <w:r w:rsidR="0009557E">
        <w:rPr>
          <w:rFonts w:asciiTheme="majorBidi" w:hAnsiTheme="majorBidi" w:cstheme="majorBidi"/>
        </w:rPr>
        <w:instrText>Jung&lt;/author&gt;&lt;author&gt;Tsai, Shih</w:instrText>
      </w:r>
      <w:r w:rsidR="0009557E">
        <w:rPr>
          <w:rFonts w:ascii="Cambria Math" w:hAnsi="Cambria Math" w:cs="Cambria Math"/>
        </w:rPr>
        <w:instrText>‐</w:instrText>
      </w:r>
      <w:r w:rsidR="0009557E">
        <w:rPr>
          <w:rFonts w:asciiTheme="majorBidi" w:hAnsiTheme="majorBidi" w:cstheme="majorBidi"/>
        </w:rPr>
        <w:instrText>Meng&lt;/author&gt;&lt;author&gt;Wu, Ye</w:instrText>
      </w:r>
      <w:r w:rsidR="0009557E">
        <w:rPr>
          <w:rFonts w:ascii="Cambria Math" w:hAnsi="Cambria Math" w:cs="Cambria Math"/>
        </w:rPr>
        <w:instrText>‐</w:instrText>
      </w:r>
      <w:r w:rsidR="0009557E">
        <w:rPr>
          <w:rFonts w:asciiTheme="majorBidi" w:hAnsiTheme="majorBidi" w:cstheme="majorBidi"/>
        </w:rPr>
        <w:instrText>Ru&lt;/author&gt;&lt;author&gt;Liao, Yu</w:instrText>
      </w:r>
      <w:r w:rsidR="0009557E">
        <w:rPr>
          <w:rFonts w:ascii="Cambria Math" w:hAnsi="Cambria Math" w:cs="Cambria Math"/>
        </w:rPr>
        <w:instrText>‐</w:instrText>
      </w:r>
      <w:r w:rsidR="0009557E">
        <w:rPr>
          <w:rFonts w:asciiTheme="majorBidi" w:hAnsiTheme="majorBidi" w:cstheme="majorBidi"/>
        </w:rPr>
        <w:instrText>Mei&lt;/author&gt;&lt;author&gt;Lin, Pei</w:instrText>
      </w:r>
      <w:r w:rsidR="0009557E">
        <w:rPr>
          <w:rFonts w:ascii="Cambria Math" w:hAnsi="Cambria Math" w:cs="Cambria Math"/>
        </w:rPr>
        <w:instrText>‐</w:instrText>
      </w:r>
      <w:r w:rsidR="0009557E">
        <w:rPr>
          <w:rFonts w:asciiTheme="majorBidi" w:hAnsiTheme="majorBidi" w:cstheme="majorBidi"/>
        </w:rPr>
        <w:instrText>Chin&lt;/author&gt;&lt;author&gt;Tsai, Li</w:instrText>
      </w:r>
      <w:r w:rsidR="0009557E">
        <w:rPr>
          <w:rFonts w:ascii="Cambria Math" w:hAnsi="Cambria Math" w:cs="Cambria Math"/>
        </w:rPr>
        <w:instrText>‐</w:instrText>
      </w:r>
      <w:r w:rsidR="0009557E">
        <w:rPr>
          <w:rFonts w:asciiTheme="majorBidi" w:hAnsiTheme="majorBidi" w:cstheme="majorBidi"/>
        </w:rPr>
        <w:instrText>Yu %J Journal of Clinical Laboratory Analysis&lt;/author&gt;&lt;/authors&gt;&lt;/contributors&gt;&lt;titles&gt;&lt;title&gt;Metabolic pathways related to oxidative stress in patients with hemoglobin H disease and iron overload&lt;/title&gt;&lt;secondary-title&gt;J Clin Lab Anal&lt;/secondary-title&gt;&lt;/titles&gt;&lt;periodical&gt;&lt;full-title&gt;J Clin Lab Anal&lt;/full-title&gt;&lt;/periodical&gt;&lt;pages&gt;261-268&lt;/pages&gt;&lt;volume&gt;28&lt;/volume&gt;&lt;number&gt;4&lt;/number&gt;&lt;dates&gt;&lt;year&gt;2014&lt;/year&gt;&lt;/dates&gt;&lt;isbn&gt;0887-8013&lt;/isbn&gt;&lt;urls&gt;&lt;/urls&gt;&lt;/record&gt;&lt;/Cite&gt;&lt;/EndNote&gt;</w:instrText>
      </w:r>
      <w:r w:rsidR="00870950" w:rsidRPr="000F1953">
        <w:rPr>
          <w:rFonts w:asciiTheme="majorBidi" w:hAnsiTheme="majorBidi" w:cstheme="majorBidi"/>
        </w:rPr>
        <w:fldChar w:fldCharType="separate"/>
      </w:r>
      <w:r w:rsidR="0009557E" w:rsidRPr="0009557E">
        <w:rPr>
          <w:rFonts w:asciiTheme="majorBidi" w:hAnsiTheme="majorBidi" w:cstheme="majorBidi"/>
          <w:noProof/>
          <w:vertAlign w:val="superscript"/>
        </w:rPr>
        <w:t>[3]</w:t>
      </w:r>
      <w:r w:rsidR="00870950" w:rsidRPr="000F1953">
        <w:rPr>
          <w:rFonts w:asciiTheme="majorBidi" w:hAnsiTheme="majorBidi" w:cstheme="majorBidi"/>
        </w:rPr>
        <w:fldChar w:fldCharType="end"/>
      </w:r>
      <w:r w:rsidR="00870950" w:rsidRPr="000F1953">
        <w:rPr>
          <w:rFonts w:asciiTheme="majorBidi" w:hAnsiTheme="majorBidi" w:cstheme="majorBidi"/>
        </w:rPr>
        <w:t>.</w:t>
      </w:r>
    </w:p>
    <w:p w14:paraId="20135AC3" w14:textId="506AC0F2" w:rsidR="006E6777" w:rsidRPr="000F1953" w:rsidRDefault="00572C51" w:rsidP="00C2358C">
      <w:pPr>
        <w:spacing w:before="100" w:beforeAutospacing="1" w:after="100" w:afterAutospacing="1" w:line="240" w:lineRule="auto"/>
        <w:jc w:val="both"/>
        <w:outlineLvl w:val="2"/>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Therefore, the presen</w:t>
      </w:r>
      <w:r w:rsidR="00E51CE4" w:rsidRPr="000F1953">
        <w:rPr>
          <w:rFonts w:asciiTheme="majorBidi" w:eastAsia="Times New Roman" w:hAnsiTheme="majorBidi" w:cstheme="majorBidi"/>
          <w:sz w:val="24"/>
          <w:szCs w:val="24"/>
        </w:rPr>
        <w:t>t</w:t>
      </w:r>
      <w:r w:rsidR="006E6777" w:rsidRPr="000F1953">
        <w:rPr>
          <w:rFonts w:asciiTheme="majorBidi" w:eastAsia="Times New Roman" w:hAnsiTheme="majorBidi" w:cstheme="majorBidi"/>
          <w:sz w:val="24"/>
          <w:szCs w:val="24"/>
        </w:rPr>
        <w:t xml:space="preserve"> study aims to comprehensively investigate the interrelationships among genotypic determinants, oxidative stress (assessed by malondialdehyde [MDA]), erythropoietic activity (measured by growth differentiation factor-15 [GDF-15]), and iron metabolism across clinically and genetically stratified subgroups of patients with Hb H disease. By integrating these parameters, we seek to identify novel biomarkers that can enhance patient stratification beyond conventional genotype- or transfusion-based frameworks and support more personalized therapeutic strategies. This multidimensional approach may ultimately inform critical clinical decisions regarding transfusion thresholds, initiation of iron chelation therapy, and the identification of patients at higher risk of complications who may benefit from closer surveillance.</w:t>
      </w:r>
      <w:r w:rsidRPr="000F1953">
        <w:rPr>
          <w:rFonts w:asciiTheme="majorBidi" w:eastAsia="Times New Roman" w:hAnsiTheme="majorBidi" w:cstheme="majorBidi"/>
          <w:sz w:val="24"/>
          <w:szCs w:val="24"/>
        </w:rPr>
        <w:t xml:space="preserve"> The findings of this study may offer novel insights into personalized management of Hb H disease.</w:t>
      </w:r>
    </w:p>
    <w:p w14:paraId="4AACAEFC" w14:textId="77777777" w:rsidR="003C57A6" w:rsidRDefault="003C57A6" w:rsidP="00C2358C">
      <w:pPr>
        <w:spacing w:before="100" w:beforeAutospacing="1" w:after="100" w:afterAutospacing="1" w:line="240" w:lineRule="auto"/>
        <w:jc w:val="both"/>
        <w:outlineLvl w:val="2"/>
        <w:rPr>
          <w:rFonts w:asciiTheme="majorBidi" w:eastAsia="Times New Roman" w:hAnsiTheme="majorBidi" w:cstheme="majorBidi"/>
          <w:b/>
          <w:bCs/>
          <w:sz w:val="24"/>
          <w:szCs w:val="24"/>
        </w:rPr>
      </w:pPr>
      <w:r>
        <w:rPr>
          <w:rFonts w:ascii="Times New Roman" w:hAnsi="Times New Roman" w:cs="Times New Roman"/>
          <w:b/>
          <w:bCs/>
          <w:color w:val="000000" w:themeColor="text1"/>
          <w:sz w:val="24"/>
          <w:szCs w:val="24"/>
          <w:lang w:bidi="fa-IR"/>
        </w:rPr>
        <w:t>MATERIALS AND METHODS</w:t>
      </w:r>
      <w:r w:rsidRPr="000F1953">
        <w:rPr>
          <w:rFonts w:asciiTheme="majorBidi" w:eastAsia="Times New Roman" w:hAnsiTheme="majorBidi" w:cstheme="majorBidi"/>
          <w:b/>
          <w:bCs/>
          <w:sz w:val="24"/>
          <w:szCs w:val="24"/>
        </w:rPr>
        <w:t xml:space="preserve"> </w:t>
      </w:r>
    </w:p>
    <w:p w14:paraId="02820A37" w14:textId="72ABFA42" w:rsidR="00FB4678" w:rsidRPr="00A27500" w:rsidRDefault="00FB4678"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Study Population and Design</w:t>
      </w:r>
    </w:p>
    <w:p w14:paraId="4094FB4B" w14:textId="77777777" w:rsidR="00E334D7" w:rsidRPr="000F1953" w:rsidRDefault="00E8599D" w:rsidP="00C2358C">
      <w:pPr>
        <w:spacing w:before="100" w:beforeAutospacing="1" w:after="100" w:afterAutospacing="1" w:line="240" w:lineRule="auto"/>
        <w:jc w:val="both"/>
        <w:outlineLvl w:val="2"/>
        <w:rPr>
          <w:rFonts w:asciiTheme="majorBidi" w:eastAsia="Times New Roman" w:hAnsiTheme="majorBidi" w:cstheme="majorBidi"/>
          <w:sz w:val="24"/>
          <w:szCs w:val="24"/>
          <w:rtl/>
        </w:rPr>
      </w:pPr>
      <w:r w:rsidRPr="000F1953">
        <w:rPr>
          <w:rFonts w:asciiTheme="majorBidi" w:eastAsia="Times New Roman" w:hAnsiTheme="majorBidi" w:cstheme="majorBidi"/>
          <w:sz w:val="24"/>
          <w:szCs w:val="24"/>
        </w:rPr>
        <w:t>T</w:t>
      </w:r>
      <w:r w:rsidR="00E334D7" w:rsidRPr="000F1953">
        <w:rPr>
          <w:rFonts w:asciiTheme="majorBidi" w:eastAsia="Times New Roman" w:hAnsiTheme="majorBidi" w:cstheme="majorBidi"/>
          <w:sz w:val="24"/>
          <w:szCs w:val="24"/>
        </w:rPr>
        <w:t>his cross-sectional, multicenter study was conducted between April 2024 and December 2024 at several major thalassemia referral centers in Iran. A total of 152 individuals were enrolled following the laboratory-based identification of Hb H disease, initially detected through hematologic profiling and capillary electrophoresis. All participating centers followed a standardized recruitment protocol, and data collection procedures were centrally coordinated to ensure methodological consistency across sites. The study protocol complied with the ethical standards of the 1964 Declaration of Helsinki and was approved by the Ethics Committee of the Pasteur Institute of Iran (IR.PII.REC.1403.027). Written informed consent was obtained from all participants or their legal guardians</w:t>
      </w:r>
      <w:r w:rsidR="00E334D7" w:rsidRPr="000F1953">
        <w:rPr>
          <w:rFonts w:asciiTheme="majorBidi" w:eastAsia="Times New Roman" w:hAnsiTheme="majorBidi" w:cstheme="majorBidi"/>
          <w:sz w:val="24"/>
          <w:szCs w:val="24"/>
          <w:rtl/>
        </w:rPr>
        <w:t>.</w:t>
      </w:r>
    </w:p>
    <w:p w14:paraId="7C5AC86B" w14:textId="3A9D5364" w:rsidR="00FB4678" w:rsidRPr="00A27500" w:rsidRDefault="00FB4678"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Eligibility Criteria and Patient Selection</w:t>
      </w:r>
    </w:p>
    <w:p w14:paraId="2020FBA0" w14:textId="77777777" w:rsidR="00E334D7" w:rsidRPr="000F1953" w:rsidRDefault="00120283" w:rsidP="00C2358C">
      <w:pPr>
        <w:spacing w:before="100" w:beforeAutospacing="1" w:after="100" w:afterAutospacing="1" w:line="240" w:lineRule="auto"/>
        <w:jc w:val="both"/>
        <w:outlineLvl w:val="2"/>
        <w:rPr>
          <w:rFonts w:asciiTheme="majorBidi" w:eastAsia="Times New Roman" w:hAnsiTheme="majorBidi" w:cstheme="majorBidi"/>
          <w:sz w:val="24"/>
          <w:szCs w:val="24"/>
          <w:rtl/>
        </w:rPr>
      </w:pPr>
      <w:r w:rsidRPr="000F1953">
        <w:rPr>
          <w:rFonts w:asciiTheme="majorBidi" w:eastAsia="Times New Roman" w:hAnsiTheme="majorBidi" w:cstheme="majorBidi"/>
          <w:sz w:val="24"/>
          <w:szCs w:val="24"/>
        </w:rPr>
        <w:t>P</w:t>
      </w:r>
      <w:r w:rsidR="00E334D7" w:rsidRPr="000F1953">
        <w:rPr>
          <w:rFonts w:asciiTheme="majorBidi" w:eastAsia="Times New Roman" w:hAnsiTheme="majorBidi" w:cstheme="majorBidi"/>
          <w:sz w:val="24"/>
          <w:szCs w:val="24"/>
        </w:rPr>
        <w:t>atients were eligible for inclusion if they presented with clinical and laboratory evidence of anemia and had Hb H disease confirmed by hemoglobin electrophoresis. Additional inclusion criteria required HbA</w:t>
      </w:r>
      <w:r w:rsidR="00E334D7" w:rsidRPr="000F1953">
        <w:rPr>
          <w:rFonts w:ascii="Cambria Math" w:eastAsia="Times New Roman" w:hAnsi="Cambria Math" w:cs="Cambria Math"/>
          <w:sz w:val="24"/>
          <w:szCs w:val="24"/>
        </w:rPr>
        <w:t>₂</w:t>
      </w:r>
      <w:r w:rsidR="00E334D7" w:rsidRPr="000F1953">
        <w:rPr>
          <w:rFonts w:asciiTheme="majorBidi" w:eastAsia="Times New Roman" w:hAnsiTheme="majorBidi" w:cstheme="majorBidi"/>
          <w:sz w:val="24"/>
          <w:szCs w:val="24"/>
        </w:rPr>
        <w:t xml:space="preserve"> levels within or below the normal reference range and fetal hemoglobin (Hb F) concentrations consistent with age-appropriate physiological values. Exclusion criteria included a confirmed diagnosis of β-thalassemia major or intermedia, silent α-thalassemia carrier status, or anemia due to non-thalassemic causes such as iron deficiency, chronic inflammatory diseases, or autoimmune hemolytic anemia.</w:t>
      </w:r>
    </w:p>
    <w:p w14:paraId="7B6308EF" w14:textId="0280BEB6" w:rsidR="00F00072" w:rsidRPr="00A27500" w:rsidRDefault="00F00072"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tl/>
        </w:rPr>
      </w:pPr>
      <w:r w:rsidRPr="00A27500">
        <w:rPr>
          <w:rFonts w:asciiTheme="majorBidi" w:eastAsia="Times New Roman" w:hAnsiTheme="majorBidi" w:cstheme="majorBidi"/>
          <w:b/>
          <w:bCs/>
          <w:i/>
          <w:iCs/>
          <w:sz w:val="24"/>
          <w:szCs w:val="24"/>
        </w:rPr>
        <w:t>Clinical and Genotypic Classification</w:t>
      </w:r>
    </w:p>
    <w:p w14:paraId="079EB51B" w14:textId="676B15ED" w:rsidR="00F00072" w:rsidRPr="000F1953" w:rsidRDefault="00855082" w:rsidP="00C2358C">
      <w:pPr>
        <w:spacing w:before="100" w:beforeAutospacing="1" w:after="100" w:afterAutospacing="1" w:line="240" w:lineRule="auto"/>
        <w:jc w:val="both"/>
        <w:outlineLvl w:val="2"/>
        <w:rPr>
          <w:rFonts w:asciiTheme="majorBidi" w:eastAsia="Times New Roman" w:hAnsiTheme="majorBidi" w:cstheme="majorBidi"/>
          <w:sz w:val="24"/>
          <w:szCs w:val="24"/>
          <w:rtl/>
        </w:rPr>
      </w:pPr>
      <w:r w:rsidRPr="000F1953">
        <w:rPr>
          <w:rFonts w:asciiTheme="majorBidi" w:eastAsia="Times New Roman" w:hAnsiTheme="majorBidi" w:cstheme="majorBidi"/>
          <w:sz w:val="24"/>
          <w:szCs w:val="24"/>
        </w:rPr>
        <w:t>Following comprehensive molecular and biochemical characterization, patients were stratified based on both clinical phenotype and underlying α-globin genotype. Clinically, patients were categorized into three transfusion-dependency subgroups: regularly transfusion-dependent, occasionally transfusion-dependent, and non-transfusion-dependent Hb H disease. This classification was determined through evaluation of longitudinal transfusion records and systematic physical examinations conducted by hematologists specializing in red blood cell disorders. Molecularly, patients were classified into three genotypic subgroups according to the nature of their α-globin gene mutations: patients with two non-deletional mutations (ND/ND),</w:t>
      </w:r>
      <w:r w:rsidRPr="000F1953">
        <w:rPr>
          <w:rFonts w:asciiTheme="majorBidi" w:eastAsia="Times New Roman" w:hAnsiTheme="majorBidi" w:cstheme="majorBidi"/>
          <w:sz w:val="24"/>
          <w:szCs w:val="24"/>
          <w:rtl/>
        </w:rPr>
        <w:t xml:space="preserve"> </w:t>
      </w:r>
      <w:r w:rsidRPr="000F1953">
        <w:rPr>
          <w:rFonts w:asciiTheme="majorBidi" w:eastAsia="Times New Roman" w:hAnsiTheme="majorBidi" w:cstheme="majorBidi"/>
          <w:sz w:val="24"/>
          <w:szCs w:val="24"/>
        </w:rPr>
        <w:t>compound heterozygotes with one non-deletional and one deletional mutation (ND/D), and</w:t>
      </w:r>
      <w:r w:rsidRPr="000F1953">
        <w:rPr>
          <w:rFonts w:asciiTheme="majorBidi" w:eastAsia="Times New Roman" w:hAnsiTheme="majorBidi" w:cstheme="majorBidi"/>
          <w:sz w:val="24"/>
          <w:szCs w:val="24"/>
          <w:rtl/>
        </w:rPr>
        <w:t xml:space="preserve"> </w:t>
      </w:r>
      <w:r w:rsidRPr="000F1953">
        <w:rPr>
          <w:rFonts w:asciiTheme="majorBidi" w:eastAsia="Times New Roman" w:hAnsiTheme="majorBidi" w:cstheme="majorBidi"/>
          <w:sz w:val="24"/>
          <w:szCs w:val="24"/>
        </w:rPr>
        <w:t>patients with two deletional mutations (D/D). This genotypic classification provided a framework for examining the correlation between specific genetic determinants and the clinical heterogeneity of Hb H disease.</w:t>
      </w:r>
    </w:p>
    <w:p w14:paraId="5EEFBC60" w14:textId="5E3A8F77" w:rsidR="00FB4678" w:rsidRPr="00A27500" w:rsidRDefault="00FB4678"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Clinical Assessment and Biospecimen Collection</w:t>
      </w:r>
    </w:p>
    <w:p w14:paraId="75BA4971" w14:textId="1C3C4D36" w:rsidR="00B96BCA" w:rsidRPr="000F1953" w:rsidRDefault="002E6C06" w:rsidP="00C2358C">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C</w:t>
      </w:r>
      <w:r w:rsidR="00E51CE4" w:rsidRPr="000F1953">
        <w:rPr>
          <w:rFonts w:asciiTheme="majorBidi" w:eastAsia="Times New Roman" w:hAnsiTheme="majorBidi" w:cstheme="majorBidi"/>
          <w:sz w:val="24"/>
          <w:szCs w:val="24"/>
        </w:rPr>
        <w:t>omprehensive demographic and clinical information was obtained through structured interviews and review of medical records. Collected variables included age, sex, transfusion parameters (age at first transfusion and transfusion frequency), medication history (with emphasis on iron chelation regimens), hepatic and cardiac status, and splenic parameters (including splenomegaly, splenectomy history, and post-splenectomy complications).Once consent had been secured from each subject or their parent/legal guardian, peripheral blood samples were collected in EDTA tubes for hematologic and molecular analyses, and in serum separator tubes for biochemical assays. All samples were processed and stored according to standardized protocols to ensure specimen integrity.</w:t>
      </w:r>
    </w:p>
    <w:p w14:paraId="7154C1C6" w14:textId="447FCBCD" w:rsidR="00FB4678" w:rsidRPr="00A27500" w:rsidRDefault="00FB4678"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Hematological and Biochemical Analyses</w:t>
      </w:r>
    </w:p>
    <w:p w14:paraId="5F216A15" w14:textId="77777777" w:rsidR="00E51CE4" w:rsidRPr="000F1953" w:rsidRDefault="00FB593A" w:rsidP="00C2358C">
      <w:pPr>
        <w:spacing w:line="240" w:lineRule="auto"/>
        <w:jc w:val="both"/>
        <w:outlineLvl w:val="2"/>
        <w:rPr>
          <w:rFonts w:asciiTheme="majorBidi" w:hAnsiTheme="majorBidi" w:cstheme="majorBidi"/>
          <w:sz w:val="24"/>
          <w:szCs w:val="24"/>
        </w:rPr>
      </w:pPr>
      <w:r w:rsidRPr="000F1953">
        <w:rPr>
          <w:rFonts w:asciiTheme="majorBidi" w:eastAsia="Times New Roman" w:hAnsiTheme="majorBidi" w:cstheme="majorBidi"/>
          <w:sz w:val="24"/>
          <w:szCs w:val="24"/>
        </w:rPr>
        <w:t xml:space="preserve">A </w:t>
      </w:r>
      <w:r w:rsidR="00E51CE4" w:rsidRPr="000F1953">
        <w:rPr>
          <w:rFonts w:asciiTheme="majorBidi" w:hAnsiTheme="majorBidi" w:cstheme="majorBidi"/>
          <w:sz w:val="24"/>
          <w:szCs w:val="24"/>
        </w:rPr>
        <w:t>comprehensive hematological evaluation was performed for all participants. Complete blood count (CBC) parameters—including hemoglobin (Hb), mean corpuscular volume (MCV), and mean corpuscular hemoglobin (MCH)—along with reticulocyte counts, were measured using the Sysmex XN-2500 automated hematology analyzer (Sysmex Corporation, Japan). Hemoglobin fraction analysis, including HbA, HbA</w:t>
      </w:r>
      <w:r w:rsidR="00E51CE4" w:rsidRPr="000F1953">
        <w:rPr>
          <w:rFonts w:ascii="Cambria Math" w:hAnsi="Cambria Math" w:cs="Cambria Math"/>
          <w:sz w:val="24"/>
          <w:szCs w:val="24"/>
        </w:rPr>
        <w:t>₂</w:t>
      </w:r>
      <w:r w:rsidR="00E51CE4" w:rsidRPr="000F1953">
        <w:rPr>
          <w:rFonts w:asciiTheme="majorBidi" w:hAnsiTheme="majorBidi" w:cstheme="majorBidi"/>
          <w:sz w:val="24"/>
          <w:szCs w:val="24"/>
        </w:rPr>
        <w:t>, HbF, Hb H, and Hb Bart’s, was conducted via capillary electrophoresis using the Sebia Capillary Electrophoresis System (Model 2 or 3; Sebia, France).</w:t>
      </w:r>
    </w:p>
    <w:p w14:paraId="0C05821C" w14:textId="4D77CE28" w:rsidR="00A64EF4" w:rsidRPr="000F1953" w:rsidRDefault="00E51CE4" w:rsidP="00C2358C">
      <w:pPr>
        <w:spacing w:before="100" w:beforeAutospacing="1" w:after="100" w:afterAutospacing="1" w:line="240" w:lineRule="auto"/>
        <w:jc w:val="both"/>
        <w:outlineLvl w:val="2"/>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Iron status assessment included serum ferritin measurement by chemiluminescent immunoassay (Abbott Architect i1000 or Roche Cobas e411), and determination of serum iron and total iron-binding capacity (TIBC) using the Mindray BS-200 chemistry analyzer. Liver function was evaluated by quantifying alanine aminotransferase (ALT) and aspartate aminotransferase (AST) levels via standard colorimetric assays. Inflammatory status was assessed by measuring serum C-reactive protein (CRP) concentrations using an immunoturbidimetric method.</w:t>
      </w:r>
    </w:p>
    <w:p w14:paraId="7FCA46F0" w14:textId="77777777" w:rsidR="004F29EB" w:rsidRPr="00A27500" w:rsidRDefault="004F29EB"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Molecular Genetic Characterization</w:t>
      </w:r>
    </w:p>
    <w:p w14:paraId="0E107235" w14:textId="3622EBA1" w:rsidR="004F29EB" w:rsidRPr="000F1953" w:rsidRDefault="004F29EB" w:rsidP="0009557E">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Genomic DNA was extracted from peripheral blood samples using a standardized salting-out method</w:t>
      </w:r>
      <w:r w:rsidRPr="000F1953">
        <w:rPr>
          <w:rFonts w:asciiTheme="majorBidi" w:eastAsia="Times New Roman" w:hAnsiTheme="majorBidi" w:cstheme="majorBidi"/>
          <w:sz w:val="24"/>
          <w:szCs w:val="24"/>
          <w:rtl/>
        </w:rPr>
        <w:t xml:space="preserve"> </w:t>
      </w:r>
      <w:r w:rsidRPr="000F1953">
        <w:rPr>
          <w:rFonts w:asciiTheme="majorBidi" w:eastAsia="Times New Roman" w:hAnsiTheme="majorBidi" w:cstheme="majorBidi"/>
          <w:sz w:val="24"/>
          <w:szCs w:val="24"/>
        </w:rPr>
        <w:fldChar w:fldCharType="begin"/>
      </w:r>
      <w:r w:rsidR="0009557E">
        <w:rPr>
          <w:rFonts w:asciiTheme="majorBidi" w:eastAsia="Times New Roman" w:hAnsiTheme="majorBidi" w:cstheme="majorBidi"/>
          <w:sz w:val="24"/>
          <w:szCs w:val="24"/>
        </w:rPr>
        <w:instrText xml:space="preserve"> ADDIN EN.CITE &lt;EndNote&gt;&lt;Cite&gt;&lt;Author&gt;MWer&lt;/Author&gt;&lt;Year&gt;1988&lt;/Year&gt;&lt;RecNum&gt;11&lt;/RecNum&gt;&lt;DisplayText&gt;&lt;style face="superscript"&gt;[11]&lt;/style&gt;&lt;/DisplayText&gt;&lt;record&gt;&lt;rec-number&gt;11&lt;/rec-number&gt;&lt;foreign-keys&gt;&lt;key app="EN" db-id="vwpp5pa0laz0wtewve755txcsrrxa2vxvxp9" timestamp="1755336870"&gt;11&lt;/key&gt;&lt;/foreign-keys&gt;&lt;ref-type name="Journal Article"&gt;17&lt;/ref-type&gt;&lt;contributors&gt;&lt;authors&gt;&lt;author&gt;MWer, S&lt;/author&gt;&lt;author&gt;Dykes, D&lt;/author&gt;&lt;author&gt;Polesky, H %J Nucleic acids res&lt;/author&gt;&lt;/authors&gt;&lt;/contributors&gt;&lt;titles&gt;&lt;title&gt;A simple salting out procedure for extracting DNA from human nucleated cells&lt;/title&gt;&lt;secondary-title&gt;Nucleic Acids Res&lt;/secondary-title&gt;&lt;/titles&gt;&lt;periodical&gt;&lt;full-title&gt;Nucleic Acids Res&lt;/full-title&gt;&lt;/periodical&gt;&lt;pages&gt;1215&lt;/pages&gt;&lt;volume&gt;16&lt;/volume&gt;&lt;number&gt;3&lt;/number&gt;&lt;dates&gt;&lt;year&gt;1988&lt;/year&gt;&lt;/dates&gt;&lt;urls&gt;&lt;/urls&gt;&lt;/record&gt;&lt;/Cite&gt;&lt;/EndNote&gt;</w:instrText>
      </w:r>
      <w:r w:rsidRPr="000F1953">
        <w:rPr>
          <w:rFonts w:asciiTheme="majorBidi" w:eastAsia="Times New Roman" w:hAnsiTheme="majorBidi" w:cstheme="majorBidi"/>
          <w:sz w:val="24"/>
          <w:szCs w:val="24"/>
        </w:rPr>
        <w:fldChar w:fldCharType="separate"/>
      </w:r>
      <w:r w:rsidR="0009557E" w:rsidRPr="0009557E">
        <w:rPr>
          <w:rFonts w:asciiTheme="majorBidi" w:eastAsia="Times New Roman" w:hAnsiTheme="majorBidi" w:cstheme="majorBidi"/>
          <w:noProof/>
          <w:sz w:val="24"/>
          <w:szCs w:val="24"/>
          <w:vertAlign w:val="superscript"/>
        </w:rPr>
        <w:t>[11]</w:t>
      </w:r>
      <w:r w:rsidRPr="000F1953">
        <w:rPr>
          <w:rFonts w:asciiTheme="majorBidi" w:eastAsia="Times New Roman" w:hAnsiTheme="majorBidi" w:cstheme="majorBidi"/>
          <w:sz w:val="24"/>
          <w:szCs w:val="24"/>
        </w:rPr>
        <w:fldChar w:fldCharType="end"/>
      </w:r>
      <w:r w:rsidRPr="000F1953">
        <w:rPr>
          <w:rFonts w:asciiTheme="majorBidi" w:eastAsia="Times New Roman" w:hAnsiTheme="majorBidi" w:cstheme="majorBidi"/>
          <w:sz w:val="24"/>
          <w:szCs w:val="24"/>
        </w:rPr>
        <w:t xml:space="preserve">. A multiplex gap-PCR assay was used for the initial screening of common α-globin gene deletions, including </w:t>
      </w:r>
      <w:r w:rsidRPr="000F1953">
        <w:rPr>
          <w:rFonts w:asciiTheme="majorBidi" w:hAnsiTheme="majorBidi" w:cstheme="majorBidi"/>
          <w:sz w:val="24"/>
          <w:szCs w:val="24"/>
        </w:rPr>
        <w:t>-α</w:t>
      </w:r>
      <w:r w:rsidRPr="000F1953">
        <w:rPr>
          <w:rFonts w:asciiTheme="majorBidi" w:hAnsiTheme="majorBidi" w:cstheme="majorBidi"/>
          <w:sz w:val="24"/>
          <w:szCs w:val="24"/>
          <w:vertAlign w:val="superscript"/>
        </w:rPr>
        <w:t>3.7</w:t>
      </w:r>
      <w:r w:rsidRPr="000F1953">
        <w:rPr>
          <w:rFonts w:asciiTheme="majorBidi" w:eastAsia="Times New Roman" w:hAnsiTheme="majorBidi" w:cstheme="majorBidi"/>
          <w:sz w:val="24"/>
          <w:szCs w:val="24"/>
        </w:rPr>
        <w:t xml:space="preserve">, </w:t>
      </w:r>
      <w:r w:rsidRPr="000F1953">
        <w:rPr>
          <w:rFonts w:asciiTheme="majorBidi" w:hAnsiTheme="majorBidi" w:cstheme="majorBidi"/>
          <w:sz w:val="24"/>
          <w:szCs w:val="24"/>
        </w:rPr>
        <w:t>-α</w:t>
      </w:r>
      <w:r w:rsidRPr="000F1953">
        <w:rPr>
          <w:rFonts w:asciiTheme="majorBidi" w:hAnsiTheme="majorBidi" w:cstheme="majorBidi"/>
          <w:sz w:val="24"/>
          <w:szCs w:val="24"/>
          <w:vertAlign w:val="superscript"/>
        </w:rPr>
        <w:t>4.2</w:t>
      </w:r>
      <w:r w:rsidRPr="000F1953">
        <w:rPr>
          <w:rFonts w:asciiTheme="majorBidi" w:eastAsia="Times New Roman" w:hAnsiTheme="majorBidi" w:cstheme="majorBidi"/>
          <w:sz w:val="24"/>
          <w:szCs w:val="24"/>
        </w:rPr>
        <w:t xml:space="preserve">, </w:t>
      </w:r>
      <w:r w:rsidRPr="000F1953">
        <w:rPr>
          <w:rFonts w:asciiTheme="majorBidi" w:hAnsiTheme="majorBidi" w:cstheme="majorBidi"/>
          <w:sz w:val="24"/>
          <w:szCs w:val="24"/>
        </w:rPr>
        <w:t>-(α)</w:t>
      </w:r>
      <w:r w:rsidRPr="000F1953">
        <w:rPr>
          <w:rFonts w:asciiTheme="majorBidi" w:hAnsiTheme="majorBidi" w:cstheme="majorBidi"/>
          <w:sz w:val="24"/>
          <w:szCs w:val="24"/>
          <w:vertAlign w:val="superscript"/>
        </w:rPr>
        <w:t>20.5</w:t>
      </w:r>
      <w:r w:rsidRPr="000F1953">
        <w:rPr>
          <w:rFonts w:asciiTheme="majorBidi" w:eastAsia="Times New Roman" w:hAnsiTheme="majorBidi" w:cstheme="majorBidi"/>
          <w:sz w:val="24"/>
          <w:szCs w:val="24"/>
        </w:rPr>
        <w:t xml:space="preserve">, and </w:t>
      </w:r>
      <w:r w:rsidRPr="000F1953">
        <w:rPr>
          <w:rFonts w:asciiTheme="majorBidi" w:hAnsiTheme="majorBidi" w:cstheme="majorBidi"/>
          <w:sz w:val="24"/>
          <w:szCs w:val="24"/>
        </w:rPr>
        <w:t>--</w:t>
      </w:r>
      <w:r w:rsidRPr="000F1953">
        <w:rPr>
          <w:rFonts w:asciiTheme="majorBidi" w:hAnsiTheme="majorBidi" w:cstheme="majorBidi"/>
          <w:sz w:val="24"/>
          <w:szCs w:val="24"/>
          <w:vertAlign w:val="superscript"/>
        </w:rPr>
        <w:t>Med</w:t>
      </w:r>
      <w:r w:rsidRPr="000F1953">
        <w:rPr>
          <w:rFonts w:asciiTheme="majorBidi" w:eastAsia="Times New Roman" w:hAnsiTheme="majorBidi" w:cstheme="majorBidi"/>
          <w:sz w:val="24"/>
          <w:szCs w:val="24"/>
        </w:rPr>
        <w:t>. The PCR products were separated on a 1% agarose gel and evaluated against appropriate normal and positive control samples </w:t>
      </w:r>
      <w:r w:rsidRPr="000F1953">
        <w:rPr>
          <w:rFonts w:asciiTheme="majorBidi" w:eastAsia="Times New Roman" w:hAnsiTheme="majorBidi" w:cstheme="majorBidi"/>
          <w:sz w:val="24"/>
          <w:szCs w:val="24"/>
        </w:rPr>
        <w:fldChar w:fldCharType="begin"/>
      </w:r>
      <w:r w:rsidR="0009557E">
        <w:rPr>
          <w:rFonts w:asciiTheme="majorBidi" w:eastAsia="Times New Roman" w:hAnsiTheme="majorBidi" w:cstheme="majorBidi"/>
          <w:sz w:val="24"/>
          <w:szCs w:val="24"/>
        </w:rPr>
        <w:instrText xml:space="preserve"> ADDIN EN.CITE &lt;EndNote&gt;&lt;Cite&gt;&lt;Author&gt;Chong&lt;/Author&gt;&lt;Year&gt;2000&lt;/Year&gt;&lt;RecNum&gt;12&lt;/RecNum&gt;&lt;DisplayText&gt;&lt;style face="superscript"&gt;[12]&lt;/style&gt;&lt;/DisplayText&gt;&lt;record&gt;&lt;rec-number&gt;12&lt;/rec-number&gt;&lt;foreign-keys&gt;&lt;key app="EN" db-id="vwpp5pa0laz0wtewve755txcsrrxa2vxvxp9" timestamp="1755336870"&gt;12&lt;/key&gt;&lt;/foreign-keys&gt;&lt;ref-type name="Journal Article"&gt;17&lt;/ref-type&gt;&lt;contributors&gt;&lt;authors&gt;&lt;author&gt;Chong, Samuel S&lt;/author&gt;&lt;author&gt;Boehm, Corinne D&lt;/author&gt;&lt;author&gt;Higgs, Douglas R&lt;/author&gt;&lt;author&gt;Cutting, Garry R %J Blood, The Journal of the American Society of Hematology&lt;/author&gt;&lt;/authors&gt;&lt;/contributors&gt;&lt;titles&gt;&lt;title&gt;Single-tube multiplex-PCR screen for common deletional determinants of α-thalassemia&lt;/title&gt;&lt;secondary-title&gt;Blood&lt;/secondary-title&gt;&lt;/titles&gt;&lt;periodical&gt;&lt;full-title&gt;Blood&lt;/full-title&gt;&lt;/periodical&gt;&lt;pages&gt;360-362&lt;/pages&gt;&lt;volume&gt;95&lt;/volume&gt;&lt;number&gt;1&lt;/number&gt;&lt;dates&gt;&lt;year&gt;2000&lt;/year&gt;&lt;/dates&gt;&lt;isbn&gt;1528-0020&lt;/isbn&gt;&lt;urls&gt;&lt;/urls&gt;&lt;/record&gt;&lt;/Cite&gt;&lt;/EndNote&gt;</w:instrText>
      </w:r>
      <w:r w:rsidRPr="000F1953">
        <w:rPr>
          <w:rFonts w:asciiTheme="majorBidi" w:eastAsia="Times New Roman" w:hAnsiTheme="majorBidi" w:cstheme="majorBidi"/>
          <w:sz w:val="24"/>
          <w:szCs w:val="24"/>
        </w:rPr>
        <w:fldChar w:fldCharType="separate"/>
      </w:r>
      <w:r w:rsidR="0009557E" w:rsidRPr="0009557E">
        <w:rPr>
          <w:rFonts w:asciiTheme="majorBidi" w:eastAsia="Times New Roman" w:hAnsiTheme="majorBidi" w:cstheme="majorBidi"/>
          <w:noProof/>
          <w:sz w:val="24"/>
          <w:szCs w:val="24"/>
          <w:vertAlign w:val="superscript"/>
        </w:rPr>
        <w:t>[12]</w:t>
      </w:r>
      <w:r w:rsidRPr="000F1953">
        <w:rPr>
          <w:rFonts w:asciiTheme="majorBidi" w:eastAsia="Times New Roman" w:hAnsiTheme="majorBidi" w:cstheme="majorBidi"/>
          <w:sz w:val="24"/>
          <w:szCs w:val="24"/>
        </w:rPr>
        <w:fldChar w:fldCharType="end"/>
      </w:r>
      <w:r w:rsidRPr="000F1953">
        <w:rPr>
          <w:rFonts w:asciiTheme="majorBidi" w:eastAsia="Times New Roman" w:hAnsiTheme="majorBidi" w:cstheme="majorBidi"/>
          <w:sz w:val="24"/>
          <w:szCs w:val="24"/>
        </w:rPr>
        <w:t>.</w:t>
      </w:r>
    </w:p>
    <w:p w14:paraId="27FA0909" w14:textId="77777777" w:rsidR="004F29EB" w:rsidRPr="000F1953" w:rsidRDefault="004F29EB" w:rsidP="00C2358C">
      <w:pPr>
        <w:spacing w:before="100" w:beforeAutospacing="1" w:after="100" w:afterAutospacing="1" w:line="240" w:lineRule="auto"/>
        <w:jc w:val="both"/>
        <w:rPr>
          <w:rFonts w:asciiTheme="majorBidi" w:eastAsia="Times New Roman" w:hAnsiTheme="majorBidi" w:cstheme="majorBidi"/>
          <w:sz w:val="24"/>
          <w:szCs w:val="24"/>
          <w:rtl/>
        </w:rPr>
      </w:pPr>
      <w:r w:rsidRPr="000F1953">
        <w:rPr>
          <w:rFonts w:asciiTheme="majorBidi" w:eastAsia="Times New Roman" w:hAnsiTheme="majorBidi" w:cstheme="majorBidi"/>
          <w:sz w:val="24"/>
          <w:szCs w:val="24"/>
        </w:rPr>
        <w:t xml:space="preserve">For samples lacking detectable deletions in the initial screening, further molecular analysis was conducted via PCR amplification of the </w:t>
      </w:r>
      <w:r w:rsidRPr="000F1953">
        <w:rPr>
          <w:rFonts w:asciiTheme="majorBidi" w:eastAsia="Times New Roman" w:hAnsiTheme="majorBidi" w:cstheme="majorBidi"/>
          <w:i/>
          <w:iCs/>
          <w:sz w:val="24"/>
          <w:szCs w:val="24"/>
        </w:rPr>
        <w:t>HBA1</w:t>
      </w:r>
      <w:r w:rsidRPr="000F1953">
        <w:rPr>
          <w:rFonts w:asciiTheme="majorBidi" w:eastAsia="Times New Roman" w:hAnsiTheme="majorBidi" w:cstheme="majorBidi"/>
          <w:sz w:val="24"/>
          <w:szCs w:val="24"/>
        </w:rPr>
        <w:t xml:space="preserve"> and </w:t>
      </w:r>
      <w:r w:rsidRPr="000F1953">
        <w:rPr>
          <w:rFonts w:asciiTheme="majorBidi" w:eastAsia="Times New Roman" w:hAnsiTheme="majorBidi" w:cstheme="majorBidi"/>
          <w:i/>
          <w:iCs/>
          <w:sz w:val="24"/>
          <w:szCs w:val="24"/>
        </w:rPr>
        <w:t>HBA2</w:t>
      </w:r>
      <w:r w:rsidRPr="000F1953">
        <w:rPr>
          <w:rFonts w:asciiTheme="majorBidi" w:eastAsia="Times New Roman" w:hAnsiTheme="majorBidi" w:cstheme="majorBidi"/>
          <w:sz w:val="24"/>
          <w:szCs w:val="24"/>
        </w:rPr>
        <w:t xml:space="preserve"> genes using specific primers (listed in Table 1), followed by Sanger sequencing using the ABI 3130xl Genetic Analyzer to identify non-deletional variants, including point mutations and small insertions/deletions.</w:t>
      </w:r>
      <w:r w:rsidRPr="000F1953">
        <w:rPr>
          <w:rFonts w:asciiTheme="majorBidi" w:eastAsia="Times New Roman" w:hAnsiTheme="majorBidi" w:cstheme="majorBidi"/>
          <w:sz w:val="24"/>
          <w:szCs w:val="24"/>
          <w:rtl/>
        </w:rPr>
        <w:t xml:space="preserve"> </w:t>
      </w:r>
      <w:r w:rsidRPr="000F1953">
        <w:rPr>
          <w:rFonts w:asciiTheme="majorBidi" w:eastAsia="Times New Roman" w:hAnsiTheme="majorBidi" w:cstheme="majorBidi"/>
          <w:sz w:val="24"/>
          <w:szCs w:val="24"/>
        </w:rPr>
        <w:t>The resulting sequence data were aligned to reference transcripts from the NCBI RefSeq database (NM_000558.5 for HBA1 and NM_000517.6 for HBA2) using CodonCode Aligner software to detect potential pathogenic alterations.</w:t>
      </w:r>
    </w:p>
    <w:p w14:paraId="38326144" w14:textId="10A8581D" w:rsidR="004F29EB" w:rsidRPr="000F1953" w:rsidRDefault="004F29EB" w:rsidP="00C2358C">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In cases where no causative variants were detected by either multiplex gap-PCR or sequencing, additional analysis was performed using multiplex ligation-dependent probe amplification (MLPA) with the SALSA® MLPA® Probemix P140 HBA. The MLPA products were analyzed using an ABI 3500 Genetic Analyzer and interpreted using GeneMarker V2.6.3 software.</w:t>
      </w:r>
    </w:p>
    <w:p w14:paraId="02480069" w14:textId="4BB2236A" w:rsidR="00FB4678" w:rsidRPr="00A27500" w:rsidRDefault="00FB4678"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Oxidative Stress Assessment</w:t>
      </w:r>
    </w:p>
    <w:p w14:paraId="22CC40E2" w14:textId="630F9E5A" w:rsidR="00713644" w:rsidRPr="000F1953" w:rsidRDefault="00713644" w:rsidP="0009557E">
      <w:pPr>
        <w:spacing w:line="240" w:lineRule="auto"/>
        <w:jc w:val="both"/>
        <w:outlineLvl w:val="2"/>
        <w:rPr>
          <w:rFonts w:asciiTheme="majorBidi" w:hAnsiTheme="majorBidi" w:cstheme="majorBidi"/>
          <w:sz w:val="24"/>
          <w:szCs w:val="24"/>
        </w:rPr>
      </w:pPr>
      <w:r w:rsidRPr="000F1953">
        <w:rPr>
          <w:rFonts w:asciiTheme="majorBidi" w:eastAsia="Times New Roman" w:hAnsiTheme="majorBidi" w:cstheme="majorBidi"/>
          <w:sz w:val="24"/>
          <w:szCs w:val="24"/>
        </w:rPr>
        <w:t xml:space="preserve">Plasma levels of </w:t>
      </w:r>
      <w:r w:rsidR="009847C5" w:rsidRPr="000F1953">
        <w:rPr>
          <w:rFonts w:asciiTheme="majorBidi" w:eastAsia="Times New Roman" w:hAnsiTheme="majorBidi" w:cstheme="majorBidi"/>
          <w:sz w:val="24"/>
          <w:szCs w:val="24"/>
        </w:rPr>
        <w:t>Malondialdehyde (MDA), a stable end-product of lipid peroxidation and a well-established biomarker of oxidative stress, was quantified using the thiobarbituric acid reactive substances (TBARS) assay, following the method described by Ohkawa et al.</w:t>
      </w:r>
      <w:r w:rsidR="0039787B" w:rsidRPr="000F1953">
        <w:rPr>
          <w:rFonts w:asciiTheme="majorBidi" w:eastAsia="Times New Roman" w:hAnsiTheme="majorBidi" w:cstheme="majorBidi"/>
          <w:sz w:val="24"/>
          <w:szCs w:val="24"/>
        </w:rPr>
        <w:fldChar w:fldCharType="begin"/>
      </w:r>
      <w:r w:rsidR="0009557E">
        <w:rPr>
          <w:rFonts w:asciiTheme="majorBidi" w:eastAsia="Times New Roman" w:hAnsiTheme="majorBidi" w:cstheme="majorBidi"/>
          <w:sz w:val="24"/>
          <w:szCs w:val="24"/>
        </w:rPr>
        <w:instrText xml:space="preserve"> ADDIN EN.CITE &lt;EndNote&gt;&lt;Cite&gt;&lt;Author&gt;Ohkawa&lt;/Author&gt;&lt;Year&gt;1979&lt;/Year&gt;&lt;RecNum&gt;13&lt;/RecNum&gt;&lt;DisplayText&gt;&lt;style face="superscript"&gt;[13]&lt;/style&gt;&lt;/DisplayText&gt;&lt;record&gt;&lt;rec-number&gt;13&lt;/rec-number&gt;&lt;foreign-keys&gt;&lt;key app="EN" db-id="vwpp5pa0laz0wtewve755txcsrrxa2vxvxp9" timestamp="1755336870"&gt;13&lt;/key&gt;&lt;/foreign-keys&gt;&lt;ref-type name="Journal Article"&gt;17&lt;/ref-type&gt;&lt;contributors&gt;&lt;authors&gt;&lt;author&gt;Ohkawa, Hiroshi&lt;/author&gt;&lt;author&gt;Ohishi, Nobuko&lt;/author&gt;&lt;author&gt;Yagi, Kunio %J Analytical biochemistry&lt;/author&gt;&lt;/authors&gt;&lt;/contributors&gt;&lt;titles&gt;&lt;title&gt;Assay for lipid peroxides in animal tissues by thiobarbituric acid reaction&lt;/title&gt;&lt;secondary-title&gt;Anal Biochem&lt;/secondary-title&gt;&lt;/titles&gt;&lt;periodical&gt;&lt;full-title&gt;Anal Biochem&lt;/full-title&gt;&lt;/periodical&gt;&lt;pages&gt;351-358&lt;/pages&gt;&lt;volume&gt;95&lt;/volume&gt;&lt;number&gt;2&lt;/number&gt;&lt;dates&gt;&lt;year&gt;1979&lt;/year&gt;&lt;/dates&gt;&lt;isbn&gt;0003-2697&lt;/isbn&gt;&lt;urls&gt;&lt;/urls&gt;&lt;/record&gt;&lt;/Cite&gt;&lt;/EndNote&gt;</w:instrText>
      </w:r>
      <w:r w:rsidR="0039787B" w:rsidRPr="000F1953">
        <w:rPr>
          <w:rFonts w:asciiTheme="majorBidi" w:eastAsia="Times New Roman" w:hAnsiTheme="majorBidi" w:cstheme="majorBidi"/>
          <w:sz w:val="24"/>
          <w:szCs w:val="24"/>
        </w:rPr>
        <w:fldChar w:fldCharType="separate"/>
      </w:r>
      <w:r w:rsidR="0009557E" w:rsidRPr="0009557E">
        <w:rPr>
          <w:rFonts w:asciiTheme="majorBidi" w:eastAsia="Times New Roman" w:hAnsiTheme="majorBidi" w:cstheme="majorBidi"/>
          <w:noProof/>
          <w:sz w:val="24"/>
          <w:szCs w:val="24"/>
          <w:vertAlign w:val="superscript"/>
        </w:rPr>
        <w:t>[13]</w:t>
      </w:r>
      <w:r w:rsidR="0039787B" w:rsidRPr="000F1953">
        <w:rPr>
          <w:rFonts w:asciiTheme="majorBidi" w:eastAsia="Times New Roman" w:hAnsiTheme="majorBidi" w:cstheme="majorBidi"/>
          <w:sz w:val="24"/>
          <w:szCs w:val="24"/>
        </w:rPr>
        <w:fldChar w:fldCharType="end"/>
      </w:r>
      <w:r w:rsidR="0064423B" w:rsidRPr="000F1953">
        <w:rPr>
          <w:rFonts w:asciiTheme="majorBidi" w:eastAsia="Times New Roman" w:hAnsiTheme="majorBidi" w:cstheme="majorBidi"/>
          <w:sz w:val="24"/>
          <w:szCs w:val="24"/>
          <w:rtl/>
        </w:rPr>
        <w:t>.</w:t>
      </w:r>
      <w:r w:rsidR="009847C5" w:rsidRPr="000F1953">
        <w:rPr>
          <w:rFonts w:asciiTheme="majorBidi" w:eastAsia="Times New Roman" w:hAnsiTheme="majorBidi" w:cstheme="majorBidi"/>
          <w:sz w:val="24"/>
          <w:szCs w:val="24"/>
        </w:rPr>
        <w:t xml:space="preserve"> </w:t>
      </w:r>
      <w:r w:rsidRPr="000F1953">
        <w:rPr>
          <w:rFonts w:asciiTheme="majorBidi" w:hAnsiTheme="majorBidi" w:cstheme="majorBidi"/>
          <w:sz w:val="24"/>
          <w:szCs w:val="24"/>
        </w:rPr>
        <w:t>A commercial TBARS kit (Arsam Fara Zist, Iran) was used for the analysis. In this assay, MDA reacts with thiobarbituric acid under acidic and high-temperature conditions to form a pink chromogen, which exhibits maximum absorbance at 532 nm and was measured spectrophotometrically.</w:t>
      </w:r>
    </w:p>
    <w:p w14:paraId="21DC5D05" w14:textId="10E1E776" w:rsidR="00FB4678" w:rsidRPr="00A27500" w:rsidRDefault="00FB4678" w:rsidP="00C2358C">
      <w:pPr>
        <w:spacing w:before="100" w:beforeAutospacing="1" w:after="100" w:afterAutospacing="1" w:line="240" w:lineRule="auto"/>
        <w:jc w:val="both"/>
        <w:outlineLvl w:val="2"/>
        <w:rPr>
          <w:rFonts w:asciiTheme="majorBidi" w:eastAsia="Times New Roman" w:hAnsiTheme="majorBidi" w:cstheme="majorBidi"/>
          <w:b/>
          <w:bCs/>
          <w:i/>
          <w:iCs/>
          <w:sz w:val="24"/>
          <w:szCs w:val="24"/>
        </w:rPr>
      </w:pPr>
      <w:r w:rsidRPr="00A27500">
        <w:rPr>
          <w:rFonts w:asciiTheme="majorBidi" w:eastAsia="Times New Roman" w:hAnsiTheme="majorBidi" w:cstheme="majorBidi"/>
          <w:b/>
          <w:bCs/>
          <w:i/>
          <w:iCs/>
          <w:sz w:val="24"/>
          <w:szCs w:val="24"/>
        </w:rPr>
        <w:t>Growth Differentiation Factor-15 Quantification</w:t>
      </w:r>
    </w:p>
    <w:p w14:paraId="6DE3ADF8" w14:textId="62A3B011" w:rsidR="006D7FBD" w:rsidRPr="000F1953" w:rsidRDefault="006D7FBD" w:rsidP="00C2358C">
      <w:pPr>
        <w:spacing w:before="100" w:beforeAutospacing="1" w:after="100" w:afterAutospacing="1" w:line="240" w:lineRule="auto"/>
        <w:jc w:val="both"/>
        <w:outlineLvl w:val="2"/>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Plasma levels of Growth Differentiation Factor-15 (GDF-15) were measured using a commercial sandwich enzyme-linked immunosorbent assay (ELISA) kit (MyBioSource, Cat. No. MBS763896), following the manufacturer’s instructions. Optical density was read at 450 nm using a microplate reader, and GDF-15 concentrations were calculated based on a standard calibration curve.</w:t>
      </w:r>
    </w:p>
    <w:p w14:paraId="4D8A8EFB" w14:textId="77777777" w:rsidR="002F4EE2" w:rsidRPr="000F1953" w:rsidRDefault="007B0A8F" w:rsidP="00C2358C">
      <w:pPr>
        <w:spacing w:before="100" w:beforeAutospacing="1" w:after="100" w:afterAutospacing="1" w:line="240" w:lineRule="auto"/>
        <w:jc w:val="both"/>
        <w:rPr>
          <w:rFonts w:asciiTheme="majorBidi" w:eastAsia="Times New Roman" w:hAnsiTheme="majorBidi" w:cstheme="majorBidi"/>
          <w:b/>
          <w:bCs/>
          <w:sz w:val="24"/>
          <w:szCs w:val="24"/>
        </w:rPr>
      </w:pPr>
      <w:r w:rsidRPr="000F1953">
        <w:rPr>
          <w:rFonts w:asciiTheme="majorBidi" w:eastAsia="Times New Roman" w:hAnsiTheme="majorBidi" w:cstheme="majorBidi"/>
          <w:b/>
          <w:bCs/>
          <w:sz w:val="24"/>
          <w:szCs w:val="24"/>
        </w:rPr>
        <w:t>Statistical Analysis</w:t>
      </w:r>
    </w:p>
    <w:p w14:paraId="719B7EF9" w14:textId="7AF8649F" w:rsidR="00970875" w:rsidRPr="000F1953" w:rsidRDefault="002F4EE2" w:rsidP="00C2358C">
      <w:pPr>
        <w:spacing w:before="100" w:beforeAutospacing="1" w:after="100" w:afterAutospacing="1" w:line="240" w:lineRule="auto"/>
        <w:jc w:val="both"/>
        <w:rPr>
          <w:rFonts w:asciiTheme="majorBidi" w:eastAsia="Times New Roman" w:hAnsiTheme="majorBidi" w:cstheme="majorBidi"/>
          <w:b/>
          <w:bCs/>
          <w:sz w:val="24"/>
          <w:szCs w:val="24"/>
        </w:rPr>
      </w:pPr>
      <w:r w:rsidRPr="000F1953">
        <w:rPr>
          <w:rFonts w:asciiTheme="majorBidi" w:eastAsia="Times New Roman" w:hAnsiTheme="majorBidi" w:cstheme="majorBidi"/>
          <w:sz w:val="24"/>
          <w:szCs w:val="24"/>
        </w:rPr>
        <w:t>All statistical analyses were conducted using SPSS version 23.0 (IBM Corp., Armonk, NY, USA). Continuous variables were reported as means ± standard deviations, and categorical variables as frequencies and percentages. The Kolmogorov–Smirnov test was applied to assess the normality of distribution. Group comparisons were performed using the independent samples t-test for normally distributed data or the Mann–Whitney U test for non-normally distributed data. Categorical variables were compared using the Chi-square test or Fisher’s exact test, as appropriate.Analysis of covariance (ANCOVA) was used to control for potential confounders such as age and sex in comparisons involving ferritin levels. Paired samples t-test was applied to assess differences in GDF-15 levels before and after transfusion among transfusion-dependent patients. A two-tailed P-value &lt;0.05 was considered statistically significant.</w:t>
      </w:r>
    </w:p>
    <w:p w14:paraId="2B6A3DEE" w14:textId="7E6B1629" w:rsidR="000A5B87" w:rsidRPr="000F1953" w:rsidRDefault="003C57A6" w:rsidP="00C2358C">
      <w:pPr>
        <w:spacing w:before="100" w:beforeAutospacing="1" w:after="100" w:afterAutospacing="1" w:line="240" w:lineRule="auto"/>
        <w:jc w:val="both"/>
        <w:rPr>
          <w:rFonts w:asciiTheme="majorBidi" w:eastAsia="Times New Roman" w:hAnsiTheme="majorBidi" w:cstheme="majorBidi"/>
          <w:b/>
          <w:bCs/>
          <w:sz w:val="24"/>
          <w:szCs w:val="24"/>
          <w:rtl/>
        </w:rPr>
      </w:pPr>
      <w:r w:rsidRPr="000F1953">
        <w:rPr>
          <w:rFonts w:asciiTheme="majorBidi" w:eastAsia="Times New Roman" w:hAnsiTheme="majorBidi" w:cstheme="majorBidi"/>
          <w:b/>
          <w:bCs/>
          <w:sz w:val="24"/>
          <w:szCs w:val="24"/>
        </w:rPr>
        <w:t>RESULTS</w:t>
      </w:r>
      <w:r w:rsidR="00CF11B9" w:rsidRPr="000F1953">
        <w:rPr>
          <w:rFonts w:asciiTheme="majorBidi" w:eastAsia="Times New Roman" w:hAnsiTheme="majorBidi" w:cstheme="majorBidi"/>
          <w:b/>
          <w:bCs/>
          <w:sz w:val="24"/>
          <w:szCs w:val="24"/>
        </w:rPr>
        <w:t xml:space="preserve"> </w:t>
      </w:r>
    </w:p>
    <w:p w14:paraId="7DDBAB05" w14:textId="5D2689DD" w:rsidR="00CE0E2E" w:rsidRPr="00A27500" w:rsidRDefault="003A12E2" w:rsidP="00C2358C">
      <w:pPr>
        <w:spacing w:before="100" w:beforeAutospacing="1" w:after="100" w:afterAutospacing="1" w:line="240" w:lineRule="auto"/>
        <w:jc w:val="both"/>
        <w:rPr>
          <w:rFonts w:asciiTheme="majorBidi" w:eastAsia="Times New Roman" w:hAnsiTheme="majorBidi" w:cstheme="majorBidi"/>
          <w:b/>
          <w:bCs/>
          <w:i/>
          <w:iCs/>
          <w:sz w:val="24"/>
          <w:szCs w:val="24"/>
          <w:rtl/>
        </w:rPr>
      </w:pPr>
      <w:r w:rsidRPr="00A27500">
        <w:rPr>
          <w:rFonts w:asciiTheme="majorBidi" w:eastAsia="Times New Roman" w:hAnsiTheme="majorBidi" w:cstheme="majorBidi"/>
          <w:b/>
          <w:bCs/>
          <w:i/>
          <w:iCs/>
          <w:sz w:val="24"/>
          <w:szCs w:val="24"/>
        </w:rPr>
        <w:t xml:space="preserve">Baseline demographic and patient Characteristics </w:t>
      </w:r>
    </w:p>
    <w:p w14:paraId="106D589D" w14:textId="24BDE410" w:rsidR="00B85714" w:rsidRPr="000F1953" w:rsidRDefault="00B85714" w:rsidP="00C2358C">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 xml:space="preserve">A total of 152 patients with Hb H disease </w:t>
      </w:r>
      <w:r w:rsidRPr="000F1953">
        <w:rPr>
          <w:rFonts w:asciiTheme="majorBidi" w:eastAsia="Times New Roman" w:hAnsiTheme="majorBidi" w:cstheme="majorBidi"/>
          <w:sz w:val="24"/>
          <w:szCs w:val="24"/>
          <w:lang w:bidi="fa-IR"/>
        </w:rPr>
        <w:t>enrolled in the study</w:t>
      </w:r>
      <w:r w:rsidRPr="000F1953">
        <w:rPr>
          <w:rFonts w:asciiTheme="majorBidi" w:eastAsia="Times New Roman" w:hAnsiTheme="majorBidi" w:cstheme="majorBidi"/>
          <w:sz w:val="24"/>
          <w:szCs w:val="24"/>
        </w:rPr>
        <w:t>, consisting of 51% females and 49% males. Based on molecular characterization, patients were categorized into three genotype groups: ND/ND (25%), ND/D (35%), and D/D (40%) (Table 2).</w:t>
      </w:r>
    </w:p>
    <w:p w14:paraId="4DED3342" w14:textId="77777777" w:rsidR="00B85714" w:rsidRPr="000F1953" w:rsidRDefault="00B85714" w:rsidP="00C2358C">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The proportion of female patients was significantly higher in the ND/D and D/D groups compared to the ND/ND group (</w:t>
      </w:r>
      <w:r w:rsidRPr="000F1953">
        <w:rPr>
          <w:rFonts w:asciiTheme="majorBidi" w:eastAsia="Times New Roman" w:hAnsiTheme="majorBidi" w:cstheme="majorBidi"/>
          <w:i/>
          <w:iCs/>
          <w:sz w:val="24"/>
          <w:szCs w:val="24"/>
        </w:rPr>
        <w:t>p</w:t>
      </w:r>
      <w:r w:rsidRPr="000F1953">
        <w:rPr>
          <w:rFonts w:asciiTheme="majorBidi" w:eastAsia="Times New Roman" w:hAnsiTheme="majorBidi" w:cstheme="majorBidi"/>
          <w:sz w:val="24"/>
          <w:szCs w:val="24"/>
        </w:rPr>
        <w:t> = 0.01), while no significant difference was observed in mean age between genotypes.</w:t>
      </w:r>
    </w:p>
    <w:p w14:paraId="5ECFD784" w14:textId="21A7AA05" w:rsidR="00B85714" w:rsidRPr="000F1953" w:rsidRDefault="00B85714" w:rsidP="00C2358C">
      <w:pPr>
        <w:spacing w:before="100" w:beforeAutospacing="1" w:after="100" w:afterAutospacing="1" w:line="240" w:lineRule="auto"/>
        <w:jc w:val="both"/>
        <w:rPr>
          <w:rFonts w:asciiTheme="majorBidi" w:eastAsia="Times New Roman" w:hAnsiTheme="majorBidi" w:cstheme="majorBidi"/>
          <w:sz w:val="24"/>
          <w:szCs w:val="24"/>
        </w:rPr>
      </w:pPr>
      <w:r w:rsidRPr="000F1953">
        <w:rPr>
          <w:rFonts w:asciiTheme="majorBidi" w:eastAsia="Times New Roman" w:hAnsiTheme="majorBidi" w:cstheme="majorBidi"/>
          <w:sz w:val="24"/>
          <w:szCs w:val="24"/>
        </w:rPr>
        <w:t>In terms of hematological indices, MCV was significantly lower in D/D compared to ND/ND patients (</w:t>
      </w:r>
      <w:r w:rsidRPr="000F1953">
        <w:rPr>
          <w:rFonts w:asciiTheme="majorBidi" w:eastAsia="Times New Roman" w:hAnsiTheme="majorBidi" w:cstheme="majorBidi"/>
          <w:i/>
          <w:iCs/>
          <w:sz w:val="24"/>
          <w:szCs w:val="24"/>
        </w:rPr>
        <w:t>p</w:t>
      </w:r>
      <w:r w:rsidRPr="000F1953">
        <w:rPr>
          <w:rFonts w:asciiTheme="majorBidi" w:eastAsia="Times New Roman" w:hAnsiTheme="majorBidi" w:cstheme="majorBidi"/>
          <w:sz w:val="24"/>
          <w:szCs w:val="24"/>
        </w:rPr>
        <w:t> &lt; 0.001), and hemoglobin concentration was higher in ND/ND than in D/D (</w:t>
      </w:r>
      <w:r w:rsidRPr="000F1953">
        <w:rPr>
          <w:rFonts w:asciiTheme="majorBidi" w:eastAsia="Times New Roman" w:hAnsiTheme="majorBidi" w:cstheme="majorBidi"/>
          <w:i/>
          <w:iCs/>
          <w:sz w:val="24"/>
          <w:szCs w:val="24"/>
        </w:rPr>
        <w:t>p</w:t>
      </w:r>
      <w:r w:rsidRPr="000F1953">
        <w:rPr>
          <w:rFonts w:asciiTheme="majorBidi" w:eastAsia="Times New Roman" w:hAnsiTheme="majorBidi" w:cstheme="majorBidi"/>
          <w:sz w:val="24"/>
          <w:szCs w:val="24"/>
        </w:rPr>
        <w:t> = 0.01). A borderline significant difference was also observed in reticulocyte count between ND/D and D/D groups (</w:t>
      </w:r>
      <w:r w:rsidRPr="000F1953">
        <w:rPr>
          <w:rFonts w:asciiTheme="majorBidi" w:eastAsia="Times New Roman" w:hAnsiTheme="majorBidi" w:cstheme="majorBidi"/>
          <w:i/>
          <w:iCs/>
          <w:sz w:val="24"/>
          <w:szCs w:val="24"/>
        </w:rPr>
        <w:t>p</w:t>
      </w:r>
      <w:r w:rsidRPr="000F1953">
        <w:rPr>
          <w:rFonts w:asciiTheme="majorBidi" w:eastAsia="Times New Roman" w:hAnsiTheme="majorBidi" w:cstheme="majorBidi"/>
          <w:sz w:val="24"/>
          <w:szCs w:val="24"/>
        </w:rPr>
        <w:t> = 0.05).</w:t>
      </w:r>
    </w:p>
    <w:p w14:paraId="58B6EEC9" w14:textId="5F8422A1" w:rsidR="0010017A" w:rsidRPr="000F1953" w:rsidRDefault="0010017A" w:rsidP="00C2358C">
      <w:pPr>
        <w:spacing w:line="240" w:lineRule="auto"/>
        <w:jc w:val="both"/>
        <w:rPr>
          <w:rFonts w:asciiTheme="majorBidi" w:hAnsiTheme="majorBidi" w:cstheme="majorBidi"/>
          <w:sz w:val="24"/>
          <w:szCs w:val="24"/>
        </w:rPr>
      </w:pPr>
      <w:r w:rsidRPr="000F1953">
        <w:rPr>
          <w:rFonts w:asciiTheme="majorBidi" w:hAnsiTheme="majorBidi" w:cstheme="majorBidi"/>
          <w:sz w:val="24"/>
          <w:szCs w:val="24"/>
        </w:rPr>
        <w:t>Regarding hemoglobin electrophoresis, Hb H levels were significantly higher in ND/D compared to both ND/ND (</w:t>
      </w:r>
      <w:r w:rsidRPr="000F1953">
        <w:rPr>
          <w:rFonts w:asciiTheme="majorBidi" w:hAnsiTheme="majorBidi" w:cstheme="majorBidi"/>
          <w:i/>
          <w:iCs/>
          <w:sz w:val="24"/>
          <w:szCs w:val="24"/>
        </w:rPr>
        <w:t>p</w:t>
      </w:r>
      <w:r w:rsidRPr="000F1953">
        <w:rPr>
          <w:rFonts w:asciiTheme="majorBidi" w:hAnsiTheme="majorBidi" w:cstheme="majorBidi"/>
          <w:sz w:val="24"/>
          <w:szCs w:val="24"/>
        </w:rPr>
        <w:t> = 0.04) and D/D (</w:t>
      </w:r>
      <w:r w:rsidRPr="000F1953">
        <w:rPr>
          <w:rFonts w:asciiTheme="majorBidi" w:hAnsiTheme="majorBidi" w:cstheme="majorBidi"/>
          <w:i/>
          <w:iCs/>
          <w:sz w:val="24"/>
          <w:szCs w:val="24"/>
        </w:rPr>
        <w:t>p</w:t>
      </w:r>
      <w:r w:rsidRPr="000F1953">
        <w:rPr>
          <w:rFonts w:asciiTheme="majorBidi" w:hAnsiTheme="majorBidi" w:cstheme="majorBidi"/>
          <w:sz w:val="24"/>
          <w:szCs w:val="24"/>
        </w:rPr>
        <w:t> &lt; 0.001), and also significantly higher in ND/ND versus D/D (</w:t>
      </w:r>
      <w:r w:rsidRPr="000F1953">
        <w:rPr>
          <w:rFonts w:asciiTheme="majorBidi" w:hAnsiTheme="majorBidi" w:cstheme="majorBidi"/>
          <w:i/>
          <w:iCs/>
          <w:sz w:val="24"/>
          <w:szCs w:val="24"/>
        </w:rPr>
        <w:t>p</w:t>
      </w:r>
      <w:r w:rsidRPr="000F1953">
        <w:rPr>
          <w:rFonts w:asciiTheme="majorBidi" w:hAnsiTheme="majorBidi" w:cstheme="majorBidi"/>
          <w:sz w:val="24"/>
          <w:szCs w:val="24"/>
        </w:rPr>
        <w:t> = 0.007). Hb A levels were significantly lower in ND/D compared to D/D (</w:t>
      </w:r>
      <w:r w:rsidRPr="000F1953">
        <w:rPr>
          <w:rFonts w:asciiTheme="majorBidi" w:hAnsiTheme="majorBidi" w:cstheme="majorBidi"/>
          <w:i/>
          <w:iCs/>
          <w:sz w:val="24"/>
          <w:szCs w:val="24"/>
        </w:rPr>
        <w:t>p</w:t>
      </w:r>
      <w:r w:rsidRPr="000F1953">
        <w:rPr>
          <w:rFonts w:asciiTheme="majorBidi" w:hAnsiTheme="majorBidi" w:cstheme="majorBidi"/>
          <w:sz w:val="24"/>
          <w:szCs w:val="24"/>
        </w:rPr>
        <w:t> = 0.01), while no significant differences were observed for Hb A</w:t>
      </w:r>
      <w:r w:rsidRPr="000F1953">
        <w:rPr>
          <w:rFonts w:ascii="Cambria Math" w:hAnsi="Cambria Math" w:cs="Cambria Math"/>
          <w:sz w:val="24"/>
          <w:szCs w:val="24"/>
        </w:rPr>
        <w:t>₂</w:t>
      </w:r>
      <w:r w:rsidRPr="000F1953">
        <w:rPr>
          <w:rFonts w:asciiTheme="majorBidi" w:hAnsiTheme="majorBidi" w:cstheme="majorBidi"/>
          <w:sz w:val="24"/>
          <w:szCs w:val="24"/>
        </w:rPr>
        <w:t xml:space="preserve">, Hb F, or Hb Bart’s across genotypes. </w:t>
      </w:r>
    </w:p>
    <w:p w14:paraId="1A50C2EE" w14:textId="575937E3" w:rsidR="00B85714" w:rsidRPr="000F1953" w:rsidRDefault="0010017A" w:rsidP="00C2358C">
      <w:pPr>
        <w:spacing w:line="240" w:lineRule="auto"/>
        <w:jc w:val="both"/>
        <w:rPr>
          <w:rFonts w:asciiTheme="majorBidi" w:hAnsiTheme="majorBidi" w:cstheme="majorBidi"/>
          <w:sz w:val="24"/>
          <w:szCs w:val="24"/>
        </w:rPr>
      </w:pPr>
      <w:r w:rsidRPr="000F1953">
        <w:rPr>
          <w:rFonts w:asciiTheme="majorBidi" w:hAnsiTheme="majorBidi" w:cstheme="majorBidi"/>
          <w:sz w:val="24"/>
          <w:szCs w:val="24"/>
        </w:rPr>
        <w:t>Liver enzyme analysis showed significantly elevated AST levels in ND/D compared to D/D (</w:t>
      </w:r>
      <w:r w:rsidRPr="000F1953">
        <w:rPr>
          <w:rFonts w:asciiTheme="majorBidi" w:hAnsiTheme="majorBidi" w:cstheme="majorBidi"/>
          <w:i/>
          <w:iCs/>
          <w:sz w:val="24"/>
          <w:szCs w:val="24"/>
        </w:rPr>
        <w:t>p</w:t>
      </w:r>
      <w:r w:rsidRPr="000F1953">
        <w:rPr>
          <w:rFonts w:asciiTheme="majorBidi" w:hAnsiTheme="majorBidi" w:cstheme="majorBidi"/>
          <w:sz w:val="24"/>
          <w:szCs w:val="24"/>
        </w:rPr>
        <w:t> = 0.03). CRP levels were significantly higher in ND/D compared to both ND/ND (</w:t>
      </w:r>
      <w:r w:rsidRPr="000F1953">
        <w:rPr>
          <w:rFonts w:asciiTheme="majorBidi" w:hAnsiTheme="majorBidi" w:cstheme="majorBidi"/>
          <w:i/>
          <w:iCs/>
          <w:sz w:val="24"/>
          <w:szCs w:val="24"/>
        </w:rPr>
        <w:t>p</w:t>
      </w:r>
      <w:r w:rsidRPr="000F1953">
        <w:rPr>
          <w:rFonts w:asciiTheme="majorBidi" w:hAnsiTheme="majorBidi" w:cstheme="majorBidi"/>
          <w:sz w:val="24"/>
          <w:szCs w:val="24"/>
        </w:rPr>
        <w:t> = 0.005) and D/D (</w:t>
      </w:r>
      <w:r w:rsidRPr="000F1953">
        <w:rPr>
          <w:rFonts w:asciiTheme="majorBidi" w:hAnsiTheme="majorBidi" w:cstheme="majorBidi"/>
          <w:i/>
          <w:iCs/>
          <w:sz w:val="24"/>
          <w:szCs w:val="24"/>
        </w:rPr>
        <w:t>p</w:t>
      </w:r>
      <w:r w:rsidRPr="000F1953">
        <w:rPr>
          <w:rFonts w:asciiTheme="majorBidi" w:hAnsiTheme="majorBidi" w:cstheme="majorBidi"/>
          <w:sz w:val="24"/>
          <w:szCs w:val="24"/>
        </w:rPr>
        <w:t> = 0.04). Although splenectomy was more frequent in ND/D patients compared to other groups, the difference did not reach statistical significance (</w:t>
      </w:r>
      <w:r w:rsidRPr="000F1953">
        <w:rPr>
          <w:rFonts w:asciiTheme="majorBidi" w:hAnsiTheme="majorBidi" w:cstheme="majorBidi"/>
          <w:i/>
          <w:iCs/>
          <w:sz w:val="24"/>
          <w:szCs w:val="24"/>
        </w:rPr>
        <w:t>p</w:t>
      </w:r>
      <w:r w:rsidRPr="000F1953">
        <w:rPr>
          <w:rFonts w:asciiTheme="majorBidi" w:hAnsiTheme="majorBidi" w:cstheme="majorBidi"/>
          <w:sz w:val="24"/>
          <w:szCs w:val="24"/>
        </w:rPr>
        <w:t> = 0.06).</w:t>
      </w:r>
    </w:p>
    <w:p w14:paraId="1B1F80EC" w14:textId="77777777" w:rsidR="006A3A11" w:rsidRPr="004F327A" w:rsidRDefault="006A3A11" w:rsidP="00C2358C">
      <w:pPr>
        <w:spacing w:line="240" w:lineRule="auto"/>
        <w:jc w:val="both"/>
        <w:rPr>
          <w:rFonts w:asciiTheme="majorBidi" w:eastAsia="Times New Roman" w:hAnsiTheme="majorBidi" w:cstheme="majorBidi"/>
          <w:b/>
          <w:bCs/>
          <w:i/>
          <w:iCs/>
          <w:sz w:val="24"/>
          <w:szCs w:val="24"/>
          <w:lang w:bidi="fa-IR"/>
        </w:rPr>
      </w:pPr>
      <w:r w:rsidRPr="004F327A">
        <w:rPr>
          <w:rFonts w:asciiTheme="majorBidi" w:eastAsia="Times New Roman" w:hAnsiTheme="majorBidi" w:cstheme="majorBidi"/>
          <w:b/>
          <w:bCs/>
          <w:i/>
          <w:iCs/>
          <w:sz w:val="24"/>
          <w:szCs w:val="24"/>
          <w:lang w:bidi="fa-IR"/>
        </w:rPr>
        <w:t>Iron Burden and Transfusion Requirements Across Clinical and Genotypic Subgroups</w:t>
      </w:r>
    </w:p>
    <w:p w14:paraId="25B94123" w14:textId="01D673A7" w:rsidR="00062881" w:rsidRPr="000F1953" w:rsidRDefault="0006288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In terms of transfusion dependency, 26.3% of the total patients (n = 40) were classified as transfusion-dependent (TD), 18.4% (n = 28) as occasionally transfusion-dependent (OTD), and 55.3% (n = 84) as non-transfusion-dependent (NTD).</w:t>
      </w:r>
    </w:p>
    <w:p w14:paraId="4F049017" w14:textId="77777777" w:rsidR="00062881" w:rsidRPr="000F1953" w:rsidRDefault="0006288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Among the genotypic subgroups, the ND/D group showed the highest frequency of transfusion-dependent patients (35.8%), compared to 21.1% in the ND/ND group and 21.3% in the D/D group. The distribution of occasionally transfusion-dependent cases was relatively similar across genotypes: 18.4% in ND/ND, 18.9% in ND/D, and 18.0% in D/D patients. Non-transfusion-dependent status was most prevalent in the ND/ND (60.5%) and D/D (60.7%) groups, while being less common among ND/D patients (45.3%). Although these differences in transfusion status across genotypic groups were observed, they were not statistically significant (p = 0.36).</w:t>
      </w:r>
    </w:p>
    <w:p w14:paraId="4FF8038B" w14:textId="2E02A6C1" w:rsidR="00FB3EF6" w:rsidRPr="000F1953" w:rsidRDefault="0006288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 xml:space="preserve">Based on genotypic stratification, serum ferritin levels were significantly higher in patients with the ND/D genotype (569.72 ± 924.14 ng/mL) compared to those with the D/D genotype (258.38 ± 276.31 ng/mL; p = 0.02). In contrast, no statistically significant differences were observed in serum iron or total iron-binding capacity (TIBC) among the </w:t>
      </w:r>
      <w:r w:rsidR="00E25349" w:rsidRPr="000F1953">
        <w:rPr>
          <w:rFonts w:asciiTheme="majorBidi" w:eastAsia="Times New Roman" w:hAnsiTheme="majorBidi" w:cstheme="majorBidi"/>
          <w:sz w:val="24"/>
          <w:szCs w:val="24"/>
          <w:lang w:bidi="fa-IR"/>
        </w:rPr>
        <w:t>genotypic groups (Table 2).</w:t>
      </w:r>
    </w:p>
    <w:p w14:paraId="3D5365F3" w14:textId="4AD72797" w:rsidR="006A3A11" w:rsidRPr="004F327A" w:rsidRDefault="00CB7614" w:rsidP="00C2358C">
      <w:pPr>
        <w:spacing w:line="240" w:lineRule="auto"/>
        <w:jc w:val="both"/>
        <w:rPr>
          <w:rFonts w:asciiTheme="majorBidi" w:eastAsia="Times New Roman" w:hAnsiTheme="majorBidi" w:cstheme="majorBidi"/>
          <w:b/>
          <w:bCs/>
          <w:i/>
          <w:iCs/>
          <w:sz w:val="24"/>
          <w:szCs w:val="24"/>
          <w:lang w:bidi="fa-IR"/>
        </w:rPr>
      </w:pPr>
      <w:r w:rsidRPr="004F327A">
        <w:rPr>
          <w:rFonts w:asciiTheme="majorBidi" w:eastAsia="Times New Roman" w:hAnsiTheme="majorBidi" w:cstheme="majorBidi"/>
          <w:b/>
          <w:bCs/>
          <w:i/>
          <w:iCs/>
          <w:sz w:val="24"/>
          <w:szCs w:val="24"/>
          <w:lang w:bidi="fa-IR"/>
        </w:rPr>
        <w:t>Spectrum of α-Globin Gene Mutations Among Hb H Patients Strati</w:t>
      </w:r>
      <w:r w:rsidR="00E25349" w:rsidRPr="004F327A">
        <w:rPr>
          <w:rFonts w:asciiTheme="majorBidi" w:eastAsia="Times New Roman" w:hAnsiTheme="majorBidi" w:cstheme="majorBidi"/>
          <w:b/>
          <w:bCs/>
          <w:i/>
          <w:iCs/>
          <w:sz w:val="24"/>
          <w:szCs w:val="24"/>
          <w:lang w:bidi="fa-IR"/>
        </w:rPr>
        <w:t>fied by Transfusion Requirement</w:t>
      </w:r>
    </w:p>
    <w:p w14:paraId="30FC10BA" w14:textId="451D9A19" w:rsidR="006A3A11" w:rsidRPr="000F1953" w:rsidRDefault="006A3A1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 xml:space="preserve">Among ND/ND patients, the </w:t>
      </w:r>
      <w:r w:rsidRPr="000F1953">
        <w:rPr>
          <w:rFonts w:asciiTheme="majorBidi" w:hAnsiTheme="majorBidi" w:cstheme="majorBidi"/>
          <w:sz w:val="24"/>
          <w:szCs w:val="24"/>
        </w:rPr>
        <w:t>α</w:t>
      </w:r>
      <w:r w:rsidRPr="000F1953">
        <w:rPr>
          <w:rFonts w:asciiTheme="majorBidi" w:hAnsiTheme="majorBidi" w:cstheme="majorBidi"/>
          <w:sz w:val="24"/>
          <w:szCs w:val="24"/>
          <w:vertAlign w:val="superscript"/>
        </w:rPr>
        <w:t>polyA1</w:t>
      </w:r>
      <w:r w:rsidRPr="000F1953">
        <w:rPr>
          <w:rFonts w:asciiTheme="majorBidi" w:hAnsiTheme="majorBidi" w:cstheme="majorBidi"/>
          <w:sz w:val="24"/>
          <w:szCs w:val="24"/>
        </w:rPr>
        <w:t>α/ α</w:t>
      </w:r>
      <w:r w:rsidRPr="000F1953">
        <w:rPr>
          <w:rFonts w:asciiTheme="majorBidi" w:hAnsiTheme="majorBidi" w:cstheme="majorBidi"/>
          <w:sz w:val="24"/>
          <w:szCs w:val="24"/>
          <w:vertAlign w:val="superscript"/>
        </w:rPr>
        <w:t>polyA1</w:t>
      </w:r>
      <w:r w:rsidRPr="000F1953">
        <w:rPr>
          <w:rFonts w:asciiTheme="majorBidi" w:hAnsiTheme="majorBidi" w:cstheme="majorBidi"/>
          <w:sz w:val="24"/>
          <w:szCs w:val="24"/>
        </w:rPr>
        <w:t>α</w:t>
      </w:r>
      <w:r w:rsidRPr="000F1953">
        <w:rPr>
          <w:rFonts w:asciiTheme="majorBidi" w:eastAsia="Times New Roman" w:hAnsiTheme="majorBidi" w:cstheme="majorBidi"/>
          <w:sz w:val="24"/>
          <w:szCs w:val="24"/>
          <w:lang w:bidi="fa-IR"/>
        </w:rPr>
        <w:t xml:space="preserve"> genotype was the most frequent, observed across all transfusion categories (4 TD, 3 OTD, and 8 NTD) (Table 3). </w:t>
      </w:r>
      <w:r w:rsidR="00330BB7" w:rsidRPr="000F1953">
        <w:rPr>
          <w:rFonts w:asciiTheme="majorBidi" w:eastAsia="Times New Roman" w:hAnsiTheme="majorBidi" w:cstheme="majorBidi"/>
          <w:sz w:val="24"/>
          <w:szCs w:val="24"/>
          <w:lang w:bidi="fa-IR"/>
        </w:rPr>
        <w:t>Genotype</w:t>
      </w:r>
      <w:r w:rsidRPr="000F1953">
        <w:rPr>
          <w:rFonts w:asciiTheme="majorBidi" w:eastAsia="Times New Roman" w:hAnsiTheme="majorBidi" w:cstheme="majorBidi"/>
          <w:sz w:val="24"/>
          <w:szCs w:val="24"/>
          <w:lang w:bidi="fa-IR"/>
        </w:rPr>
        <w:t xml:space="preserve"> such as as </w:t>
      </w:r>
      <w:r w:rsidRPr="000F1953">
        <w:rPr>
          <w:rFonts w:asciiTheme="majorBidi" w:hAnsiTheme="majorBidi" w:cstheme="majorBidi"/>
          <w:sz w:val="24"/>
          <w:szCs w:val="24"/>
        </w:rPr>
        <w:t>α</w:t>
      </w:r>
      <w:r w:rsidRPr="000F1953">
        <w:rPr>
          <w:rFonts w:asciiTheme="majorBidi" w:hAnsiTheme="majorBidi" w:cstheme="majorBidi"/>
          <w:sz w:val="24"/>
          <w:szCs w:val="24"/>
          <w:vertAlign w:val="superscript"/>
        </w:rPr>
        <w:t>codon19</w:t>
      </w:r>
      <w:r w:rsidRPr="000F1953">
        <w:rPr>
          <w:rFonts w:asciiTheme="majorBidi" w:hAnsiTheme="majorBidi" w:cstheme="majorBidi"/>
          <w:sz w:val="24"/>
          <w:szCs w:val="24"/>
        </w:rPr>
        <w:t>α / α</w:t>
      </w:r>
      <w:r w:rsidRPr="000F1953">
        <w:rPr>
          <w:rFonts w:asciiTheme="majorBidi" w:hAnsiTheme="majorBidi" w:cstheme="majorBidi"/>
          <w:sz w:val="24"/>
          <w:szCs w:val="24"/>
          <w:vertAlign w:val="superscript"/>
        </w:rPr>
        <w:t>codon19</w:t>
      </w:r>
      <w:r w:rsidRPr="000F1953">
        <w:rPr>
          <w:rFonts w:asciiTheme="majorBidi" w:hAnsiTheme="majorBidi" w:cstheme="majorBidi"/>
          <w:sz w:val="24"/>
          <w:szCs w:val="24"/>
        </w:rPr>
        <w:t>α</w:t>
      </w:r>
      <w:r w:rsidRPr="000F1953">
        <w:rPr>
          <w:rFonts w:asciiTheme="majorBidi" w:eastAsia="Times New Roman" w:hAnsiTheme="majorBidi" w:cstheme="majorBidi"/>
          <w:sz w:val="24"/>
          <w:szCs w:val="24"/>
          <w:lang w:bidi="fa-IR"/>
        </w:rPr>
        <w:t xml:space="preserve"> and </w:t>
      </w:r>
      <w:r w:rsidRPr="000F1953">
        <w:rPr>
          <w:rFonts w:asciiTheme="majorBidi" w:hAnsiTheme="majorBidi" w:cstheme="majorBidi"/>
          <w:sz w:val="24"/>
          <w:szCs w:val="24"/>
        </w:rPr>
        <w:t>α</w:t>
      </w:r>
      <w:r w:rsidRPr="000F1953">
        <w:rPr>
          <w:rFonts w:asciiTheme="majorBidi" w:hAnsiTheme="majorBidi" w:cstheme="majorBidi"/>
          <w:sz w:val="24"/>
          <w:szCs w:val="24"/>
          <w:vertAlign w:val="superscript"/>
        </w:rPr>
        <w:t>PolyA2</w:t>
      </w:r>
      <w:r w:rsidRPr="000F1953">
        <w:rPr>
          <w:rFonts w:asciiTheme="majorBidi" w:hAnsiTheme="majorBidi" w:cstheme="majorBidi"/>
          <w:sz w:val="24"/>
          <w:szCs w:val="24"/>
        </w:rPr>
        <w:t>α / α</w:t>
      </w:r>
      <w:r w:rsidRPr="000F1953">
        <w:rPr>
          <w:rFonts w:asciiTheme="majorBidi" w:hAnsiTheme="majorBidi" w:cstheme="majorBidi"/>
          <w:sz w:val="24"/>
          <w:szCs w:val="24"/>
          <w:vertAlign w:val="superscript"/>
        </w:rPr>
        <w:t>PolyA2</w:t>
      </w:r>
      <w:r w:rsidRPr="000F1953">
        <w:rPr>
          <w:rFonts w:asciiTheme="majorBidi" w:hAnsiTheme="majorBidi" w:cstheme="majorBidi"/>
          <w:sz w:val="24"/>
          <w:szCs w:val="24"/>
        </w:rPr>
        <w:t>α</w:t>
      </w:r>
      <w:r w:rsidRPr="000F1953">
        <w:rPr>
          <w:rFonts w:asciiTheme="majorBidi" w:eastAsia="Times New Roman" w:hAnsiTheme="majorBidi" w:cstheme="majorBidi"/>
          <w:sz w:val="24"/>
          <w:szCs w:val="24"/>
          <w:lang w:bidi="fa-IR"/>
        </w:rPr>
        <w:t xml:space="preserve"> were confined to NTD patients.</w:t>
      </w:r>
    </w:p>
    <w:p w14:paraId="511A8177" w14:textId="0275B2E5" w:rsidR="006A3A11" w:rsidRPr="000F1953" w:rsidRDefault="006A3A1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 xml:space="preserve">In the ND/D group, compound genotypes </w:t>
      </w:r>
      <w:r w:rsidR="00330BB7" w:rsidRPr="000F1953">
        <w:rPr>
          <w:rFonts w:asciiTheme="majorBidi" w:eastAsia="Times New Roman" w:hAnsiTheme="majorBidi" w:cstheme="majorBidi"/>
          <w:sz w:val="24"/>
          <w:szCs w:val="24"/>
          <w:lang w:bidi="fa-IR"/>
        </w:rPr>
        <w:t xml:space="preserve">involving </w:t>
      </w:r>
      <w:r w:rsidR="00330BB7" w:rsidRPr="000F1953">
        <w:rPr>
          <w:rFonts w:asciiTheme="majorBidi" w:hAnsiTheme="majorBidi" w:cstheme="majorBidi"/>
          <w:sz w:val="24"/>
          <w:szCs w:val="24"/>
        </w:rPr>
        <w:t>--</w:t>
      </w:r>
      <w:r w:rsidR="00330BB7" w:rsidRPr="000F1953">
        <w:rPr>
          <w:rFonts w:asciiTheme="majorBidi" w:hAnsiTheme="majorBidi" w:cstheme="majorBidi"/>
          <w:sz w:val="24"/>
          <w:szCs w:val="24"/>
          <w:vertAlign w:val="superscript"/>
        </w:rPr>
        <w:t>Med</w:t>
      </w:r>
      <w:r w:rsidRPr="000F1953">
        <w:rPr>
          <w:rFonts w:asciiTheme="majorBidi" w:eastAsia="Times New Roman" w:hAnsiTheme="majorBidi" w:cstheme="majorBidi"/>
          <w:sz w:val="24"/>
          <w:szCs w:val="24"/>
          <w:lang w:bidi="fa-IR"/>
        </w:rPr>
        <w:t xml:space="preserve"> deletion were more prevalent among TD patients, particularly </w:t>
      </w:r>
      <w:r w:rsidR="00330BB7" w:rsidRPr="000F1953">
        <w:rPr>
          <w:rFonts w:asciiTheme="majorBidi" w:hAnsiTheme="majorBidi" w:cstheme="majorBidi"/>
          <w:sz w:val="24"/>
          <w:szCs w:val="24"/>
        </w:rPr>
        <w:t>--</w:t>
      </w:r>
      <w:r w:rsidR="00330BB7" w:rsidRPr="000F1953">
        <w:rPr>
          <w:rFonts w:asciiTheme="majorBidi" w:hAnsiTheme="majorBidi" w:cstheme="majorBidi"/>
          <w:sz w:val="24"/>
          <w:szCs w:val="24"/>
          <w:vertAlign w:val="superscript"/>
        </w:rPr>
        <w:t>Med</w:t>
      </w:r>
      <w:r w:rsidR="00E25349" w:rsidRPr="000F1953">
        <w:rPr>
          <w:rFonts w:asciiTheme="majorBidi" w:hAnsiTheme="majorBidi" w:cstheme="majorBidi"/>
          <w:sz w:val="24"/>
          <w:szCs w:val="24"/>
        </w:rPr>
        <w:t>/</w:t>
      </w:r>
      <w:r w:rsidR="00330BB7" w:rsidRPr="000F1953">
        <w:rPr>
          <w:rFonts w:asciiTheme="majorBidi" w:hAnsiTheme="majorBidi" w:cstheme="majorBidi"/>
          <w:sz w:val="24"/>
          <w:szCs w:val="24"/>
        </w:rPr>
        <w:t>α</w:t>
      </w:r>
      <w:r w:rsidR="00330BB7" w:rsidRPr="000F1953">
        <w:rPr>
          <w:rFonts w:asciiTheme="majorBidi" w:hAnsiTheme="majorBidi" w:cstheme="majorBidi"/>
          <w:sz w:val="24"/>
          <w:szCs w:val="24"/>
          <w:vertAlign w:val="superscript"/>
        </w:rPr>
        <w:t>CS</w:t>
      </w:r>
      <w:r w:rsidR="00330BB7" w:rsidRPr="000F1953">
        <w:rPr>
          <w:rFonts w:asciiTheme="majorBidi" w:hAnsiTheme="majorBidi" w:cstheme="majorBidi"/>
          <w:sz w:val="24"/>
          <w:szCs w:val="24"/>
        </w:rPr>
        <w:t xml:space="preserve"> α</w:t>
      </w:r>
      <w:r w:rsidR="00330BB7" w:rsidRPr="000F1953">
        <w:rPr>
          <w:rFonts w:asciiTheme="majorBidi" w:eastAsia="Times New Roman" w:hAnsiTheme="majorBidi" w:cstheme="majorBidi"/>
          <w:sz w:val="24"/>
          <w:szCs w:val="24"/>
          <w:lang w:bidi="fa-IR"/>
        </w:rPr>
        <w:t xml:space="preserve"> and </w:t>
      </w:r>
      <w:r w:rsidR="00330BB7" w:rsidRPr="000F1953">
        <w:rPr>
          <w:rFonts w:asciiTheme="majorBidi" w:hAnsiTheme="majorBidi" w:cstheme="majorBidi"/>
          <w:sz w:val="24"/>
          <w:szCs w:val="24"/>
        </w:rPr>
        <w:t>--</w:t>
      </w:r>
      <w:r w:rsidR="00330BB7" w:rsidRPr="000F1953">
        <w:rPr>
          <w:rFonts w:asciiTheme="majorBidi" w:hAnsiTheme="majorBidi" w:cstheme="majorBidi"/>
          <w:sz w:val="24"/>
          <w:szCs w:val="24"/>
          <w:vertAlign w:val="superscript"/>
        </w:rPr>
        <w:t>Med</w:t>
      </w:r>
      <w:r w:rsidR="00330BB7" w:rsidRPr="000F1953">
        <w:rPr>
          <w:rFonts w:asciiTheme="majorBidi" w:hAnsiTheme="majorBidi" w:cstheme="majorBidi"/>
          <w:sz w:val="24"/>
          <w:szCs w:val="24"/>
        </w:rPr>
        <w:t xml:space="preserve"> / α</w:t>
      </w:r>
      <w:r w:rsidR="00330BB7" w:rsidRPr="000F1953">
        <w:rPr>
          <w:rFonts w:asciiTheme="majorBidi" w:hAnsiTheme="majorBidi" w:cstheme="majorBidi"/>
          <w:sz w:val="24"/>
          <w:szCs w:val="24"/>
          <w:vertAlign w:val="superscript"/>
        </w:rPr>
        <w:t>PolyA2</w:t>
      </w:r>
      <w:r w:rsidR="00330BB7" w:rsidRPr="000F1953">
        <w:rPr>
          <w:rFonts w:asciiTheme="majorBidi" w:hAnsiTheme="majorBidi" w:cstheme="majorBidi"/>
          <w:sz w:val="24"/>
          <w:szCs w:val="24"/>
        </w:rPr>
        <w:t>α</w:t>
      </w:r>
      <w:r w:rsidR="00330BB7" w:rsidRPr="000F1953">
        <w:rPr>
          <w:rFonts w:asciiTheme="majorBidi" w:eastAsia="Times New Roman" w:hAnsiTheme="majorBidi" w:cstheme="majorBidi"/>
          <w:sz w:val="24"/>
          <w:szCs w:val="24"/>
          <w:lang w:bidi="fa-IR"/>
        </w:rPr>
        <w:t xml:space="preserve"> </w:t>
      </w:r>
      <w:r w:rsidRPr="000F1953">
        <w:rPr>
          <w:rFonts w:asciiTheme="majorBidi" w:eastAsia="Times New Roman" w:hAnsiTheme="majorBidi" w:cstheme="majorBidi"/>
          <w:sz w:val="24"/>
          <w:szCs w:val="24"/>
          <w:lang w:bidi="fa-IR"/>
        </w:rPr>
        <w:t xml:space="preserve">(4 and 2 cases, respectively). Other combinations, including </w:t>
      </w:r>
      <w:r w:rsidR="00330BB7" w:rsidRPr="000F1953">
        <w:rPr>
          <w:rFonts w:asciiTheme="majorBidi" w:hAnsiTheme="majorBidi" w:cstheme="majorBidi"/>
          <w:sz w:val="24"/>
          <w:szCs w:val="24"/>
        </w:rPr>
        <w:t>-(α)</w:t>
      </w:r>
      <w:r w:rsidR="00330BB7" w:rsidRPr="000F1953">
        <w:rPr>
          <w:rFonts w:asciiTheme="majorBidi" w:hAnsiTheme="majorBidi" w:cstheme="majorBidi"/>
          <w:sz w:val="24"/>
          <w:szCs w:val="24"/>
          <w:vertAlign w:val="superscript"/>
        </w:rPr>
        <w:t>20.5</w:t>
      </w:r>
      <w:r w:rsidR="00330BB7" w:rsidRPr="000F1953">
        <w:rPr>
          <w:rFonts w:asciiTheme="majorBidi" w:hAnsiTheme="majorBidi" w:cstheme="majorBidi"/>
          <w:sz w:val="24"/>
          <w:szCs w:val="24"/>
        </w:rPr>
        <w:t>/ α</w:t>
      </w:r>
      <w:r w:rsidR="00330BB7" w:rsidRPr="000F1953">
        <w:rPr>
          <w:rFonts w:asciiTheme="majorBidi" w:hAnsiTheme="majorBidi" w:cstheme="majorBidi"/>
          <w:sz w:val="24"/>
          <w:szCs w:val="24"/>
          <w:vertAlign w:val="superscript"/>
        </w:rPr>
        <w:t>-5nt</w:t>
      </w:r>
      <w:r w:rsidR="00330BB7" w:rsidRPr="000F1953">
        <w:rPr>
          <w:rFonts w:asciiTheme="majorBidi" w:hAnsiTheme="majorBidi" w:cstheme="majorBidi"/>
          <w:sz w:val="24"/>
          <w:szCs w:val="24"/>
        </w:rPr>
        <w:t>α</w:t>
      </w:r>
      <w:r w:rsidR="00330BB7" w:rsidRPr="000F1953">
        <w:rPr>
          <w:rFonts w:asciiTheme="majorBidi" w:eastAsia="Times New Roman" w:hAnsiTheme="majorBidi" w:cstheme="majorBidi"/>
          <w:sz w:val="24"/>
          <w:szCs w:val="24"/>
          <w:lang w:bidi="fa-IR"/>
        </w:rPr>
        <w:t xml:space="preserve"> and </w:t>
      </w:r>
      <w:r w:rsidR="00330BB7" w:rsidRPr="000F1953">
        <w:rPr>
          <w:rFonts w:asciiTheme="majorBidi" w:hAnsiTheme="majorBidi" w:cstheme="majorBidi"/>
          <w:sz w:val="24"/>
          <w:szCs w:val="24"/>
        </w:rPr>
        <w:t>-(α)</w:t>
      </w:r>
      <w:r w:rsidR="00330BB7" w:rsidRPr="000F1953">
        <w:rPr>
          <w:rFonts w:asciiTheme="majorBidi" w:hAnsiTheme="majorBidi" w:cstheme="majorBidi"/>
          <w:sz w:val="24"/>
          <w:szCs w:val="24"/>
          <w:vertAlign w:val="superscript"/>
        </w:rPr>
        <w:t>20.5</w:t>
      </w:r>
      <w:r w:rsidR="00330BB7" w:rsidRPr="000F1953">
        <w:rPr>
          <w:rFonts w:asciiTheme="majorBidi" w:hAnsiTheme="majorBidi" w:cstheme="majorBidi"/>
          <w:sz w:val="24"/>
          <w:szCs w:val="24"/>
        </w:rPr>
        <w:t>/ α</w:t>
      </w:r>
      <w:r w:rsidR="00330BB7" w:rsidRPr="000F1953">
        <w:rPr>
          <w:rFonts w:asciiTheme="majorBidi" w:hAnsiTheme="majorBidi" w:cstheme="majorBidi"/>
          <w:sz w:val="24"/>
          <w:szCs w:val="24"/>
          <w:vertAlign w:val="superscript"/>
        </w:rPr>
        <w:t>PolyA2</w:t>
      </w:r>
      <w:r w:rsidR="00330BB7" w:rsidRPr="000F1953">
        <w:rPr>
          <w:rFonts w:asciiTheme="majorBidi" w:hAnsiTheme="majorBidi" w:cstheme="majorBidi"/>
          <w:sz w:val="24"/>
          <w:szCs w:val="24"/>
        </w:rPr>
        <w:t>α</w:t>
      </w:r>
      <w:r w:rsidRPr="000F1953">
        <w:rPr>
          <w:rFonts w:asciiTheme="majorBidi" w:eastAsia="Times New Roman" w:hAnsiTheme="majorBidi" w:cstheme="majorBidi"/>
          <w:sz w:val="24"/>
          <w:szCs w:val="24"/>
          <w:lang w:bidi="fa-IR"/>
        </w:rPr>
        <w:t>, were detected across all transfusion categories.</w:t>
      </w:r>
    </w:p>
    <w:p w14:paraId="00E5A087" w14:textId="43C3736E" w:rsidR="006A3A11" w:rsidRPr="000F1953" w:rsidRDefault="006A3A1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 xml:space="preserve">Among patients with D/D genotypes, </w:t>
      </w:r>
      <w:r w:rsidR="00300559" w:rsidRPr="000F1953">
        <w:rPr>
          <w:rFonts w:asciiTheme="majorBidi" w:eastAsia="Times New Roman" w:hAnsiTheme="majorBidi" w:cstheme="majorBidi"/>
          <w:sz w:val="24"/>
          <w:szCs w:val="24"/>
          <w:lang w:bidi="fa-IR"/>
        </w:rPr>
        <w:t>the --</w:t>
      </w:r>
      <w:r w:rsidR="00300559" w:rsidRPr="000F1953">
        <w:rPr>
          <w:rFonts w:asciiTheme="majorBidi" w:hAnsiTheme="majorBidi" w:cstheme="majorBidi"/>
          <w:sz w:val="24"/>
          <w:szCs w:val="24"/>
          <w:vertAlign w:val="superscript"/>
        </w:rPr>
        <w:t>Med</w:t>
      </w:r>
      <w:r w:rsidR="00300559" w:rsidRPr="000F1953">
        <w:rPr>
          <w:rFonts w:asciiTheme="majorBidi" w:hAnsiTheme="majorBidi" w:cstheme="majorBidi"/>
          <w:sz w:val="24"/>
          <w:szCs w:val="24"/>
        </w:rPr>
        <w:t>/-α</w:t>
      </w:r>
      <w:r w:rsidR="00300559" w:rsidRPr="000F1953">
        <w:rPr>
          <w:rFonts w:asciiTheme="majorBidi" w:hAnsiTheme="majorBidi" w:cstheme="majorBidi"/>
          <w:sz w:val="24"/>
          <w:szCs w:val="24"/>
          <w:vertAlign w:val="superscript"/>
        </w:rPr>
        <w:t>3.</w:t>
      </w:r>
      <w:r w:rsidR="00300559" w:rsidRPr="000F1953">
        <w:rPr>
          <w:rFonts w:asciiTheme="majorBidi" w:hAnsiTheme="majorBidi" w:cstheme="majorBidi"/>
          <w:sz w:val="24"/>
          <w:szCs w:val="24"/>
        </w:rPr>
        <w:t xml:space="preserve">7 </w:t>
      </w:r>
      <w:r w:rsidR="00300559" w:rsidRPr="000F1953">
        <w:rPr>
          <w:rFonts w:asciiTheme="majorBidi" w:eastAsia="Times New Roman" w:hAnsiTheme="majorBidi" w:cstheme="majorBidi"/>
          <w:sz w:val="24"/>
          <w:szCs w:val="24"/>
          <w:lang w:bidi="fa-IR"/>
        </w:rPr>
        <w:t>genotype</w:t>
      </w:r>
      <w:r w:rsidRPr="000F1953">
        <w:rPr>
          <w:rFonts w:asciiTheme="majorBidi" w:eastAsia="Times New Roman" w:hAnsiTheme="majorBidi" w:cstheme="majorBidi"/>
          <w:sz w:val="24"/>
          <w:szCs w:val="24"/>
          <w:lang w:bidi="fa-IR"/>
        </w:rPr>
        <w:t xml:space="preserve"> was the most common, predominantly identified in the NTD subgroup (n = 27), but also found in TD and OTD patients (n = 7 each). Other deletional genotypes, such as </w:t>
      </w:r>
      <w:r w:rsidR="00300559" w:rsidRPr="000F1953">
        <w:rPr>
          <w:rFonts w:asciiTheme="majorBidi" w:eastAsia="Times New Roman" w:hAnsiTheme="majorBidi" w:cstheme="majorBidi"/>
          <w:sz w:val="24"/>
          <w:szCs w:val="24"/>
          <w:lang w:bidi="fa-IR"/>
        </w:rPr>
        <w:t>--</w:t>
      </w:r>
      <w:r w:rsidR="00300559" w:rsidRPr="000F1953">
        <w:rPr>
          <w:rFonts w:asciiTheme="majorBidi" w:hAnsiTheme="majorBidi" w:cstheme="majorBidi"/>
          <w:sz w:val="24"/>
          <w:szCs w:val="24"/>
          <w:vertAlign w:val="superscript"/>
        </w:rPr>
        <w:t>Med</w:t>
      </w:r>
      <w:r w:rsidR="00300559" w:rsidRPr="000F1953">
        <w:rPr>
          <w:rFonts w:asciiTheme="majorBidi" w:hAnsiTheme="majorBidi" w:cstheme="majorBidi"/>
          <w:sz w:val="24"/>
          <w:szCs w:val="24"/>
        </w:rPr>
        <w:t xml:space="preserve"> /-α</w:t>
      </w:r>
      <w:r w:rsidR="00300559" w:rsidRPr="000F1953">
        <w:rPr>
          <w:rFonts w:asciiTheme="majorBidi" w:hAnsiTheme="majorBidi" w:cstheme="majorBidi"/>
          <w:sz w:val="24"/>
          <w:szCs w:val="24"/>
          <w:vertAlign w:val="superscript"/>
        </w:rPr>
        <w:t>4.2</w:t>
      </w:r>
      <w:r w:rsidR="00300559" w:rsidRPr="000F1953">
        <w:rPr>
          <w:rFonts w:asciiTheme="majorBidi" w:eastAsia="Times New Roman" w:hAnsiTheme="majorBidi" w:cstheme="majorBidi"/>
          <w:sz w:val="24"/>
          <w:szCs w:val="24"/>
          <w:lang w:bidi="fa-IR"/>
        </w:rPr>
        <w:t xml:space="preserve"> and </w:t>
      </w:r>
      <w:r w:rsidR="00300559" w:rsidRPr="000F1953">
        <w:rPr>
          <w:rFonts w:asciiTheme="majorBidi" w:hAnsiTheme="majorBidi" w:cstheme="majorBidi"/>
          <w:sz w:val="24"/>
          <w:szCs w:val="24"/>
        </w:rPr>
        <w:t>-(α)</w:t>
      </w:r>
      <w:r w:rsidR="00300559" w:rsidRPr="000F1953">
        <w:rPr>
          <w:rFonts w:asciiTheme="majorBidi" w:hAnsiTheme="majorBidi" w:cstheme="majorBidi"/>
          <w:sz w:val="24"/>
          <w:szCs w:val="24"/>
          <w:vertAlign w:val="superscript"/>
        </w:rPr>
        <w:t>20.5</w:t>
      </w:r>
      <w:r w:rsidR="00300559" w:rsidRPr="000F1953">
        <w:rPr>
          <w:rFonts w:asciiTheme="majorBidi" w:hAnsiTheme="majorBidi" w:cstheme="majorBidi"/>
          <w:sz w:val="24"/>
          <w:szCs w:val="24"/>
        </w:rPr>
        <w:t>/-α</w:t>
      </w:r>
      <w:r w:rsidR="00300559" w:rsidRPr="000F1953">
        <w:rPr>
          <w:rFonts w:asciiTheme="majorBidi" w:hAnsiTheme="majorBidi" w:cstheme="majorBidi"/>
          <w:sz w:val="24"/>
          <w:szCs w:val="24"/>
          <w:vertAlign w:val="superscript"/>
        </w:rPr>
        <w:t>3.7</w:t>
      </w:r>
      <w:r w:rsidRPr="000F1953">
        <w:rPr>
          <w:rFonts w:asciiTheme="majorBidi" w:eastAsia="Times New Roman" w:hAnsiTheme="majorBidi" w:cstheme="majorBidi"/>
          <w:sz w:val="24"/>
          <w:szCs w:val="24"/>
          <w:lang w:bidi="fa-IR"/>
        </w:rPr>
        <w:t>, were less frequent but exhibited a similar distribution pattern — primarily among NTD patients, with limited presence in TD and OTD groups.</w:t>
      </w:r>
    </w:p>
    <w:p w14:paraId="1D211DDC" w14:textId="273A18C0" w:rsidR="00300559" w:rsidRPr="000F1953" w:rsidRDefault="006A3A11"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Overall, a greater diversity of α-globin mutations was observed among TD patients, with a predominance of non-deletional variants. In contrast, deletional genotypes were more commonly found in NTD patients</w:t>
      </w:r>
    </w:p>
    <w:p w14:paraId="5D173860" w14:textId="77777777" w:rsidR="00B03B9E" w:rsidRPr="004F327A" w:rsidRDefault="00B03B9E" w:rsidP="00C2358C">
      <w:pPr>
        <w:spacing w:line="240" w:lineRule="auto"/>
        <w:jc w:val="both"/>
        <w:rPr>
          <w:rFonts w:asciiTheme="majorBidi" w:eastAsia="Times New Roman" w:hAnsiTheme="majorBidi" w:cstheme="majorBidi"/>
          <w:b/>
          <w:bCs/>
          <w:i/>
          <w:iCs/>
          <w:sz w:val="24"/>
          <w:szCs w:val="24"/>
          <w:lang w:bidi="fa-IR"/>
        </w:rPr>
      </w:pPr>
      <w:r w:rsidRPr="004F327A">
        <w:rPr>
          <w:rFonts w:asciiTheme="majorBidi" w:eastAsia="Times New Roman" w:hAnsiTheme="majorBidi" w:cstheme="majorBidi"/>
          <w:b/>
          <w:bCs/>
          <w:i/>
          <w:iCs/>
          <w:sz w:val="24"/>
          <w:szCs w:val="24"/>
          <w:lang w:bidi="fa-IR"/>
        </w:rPr>
        <w:t>Growth Differentiation Factor-15 as a Marker of Ineffective Erythropoiesis: Association with Genotype and Transfusion Dependency</w:t>
      </w:r>
    </w:p>
    <w:p w14:paraId="65790779" w14:textId="77777777" w:rsidR="00F9365D" w:rsidRPr="000F1953" w:rsidRDefault="00F9365D"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Transfusion-dependent (TD) patients exhibited the highest mean GDF-15 levels (8354.78 ± 740.94 pg/mL), followed by occasionally transfusion-dependent (OTD) patients (6598.63 ± 1570.03 pg/mL), and non-transfusion-dependent (NTD) individuals (3647.55 ± 931.75 pg/mL), with the differences reaching statistical significance (p &lt; 0.001) (Figure 1A).</w:t>
      </w:r>
    </w:p>
    <w:p w14:paraId="6F20A85D" w14:textId="77777777" w:rsidR="00F9365D" w:rsidRPr="000F1953" w:rsidRDefault="00F9365D"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A similar gradient was observed across genotypic groups. GDF-15 concentrations were highest in ND/D patients (6704.20 ± 2325.23 pg/mL), followed by D/D (5726.29 ± 1906.68 pg/mL) and ND/ND genotypes (5399.17 ± 2890.37 pg/mL) (Figure 1B).</w:t>
      </w:r>
    </w:p>
    <w:p w14:paraId="52E7D7D8" w14:textId="07866708" w:rsidR="00F9365D" w:rsidRPr="000F1953" w:rsidRDefault="00F9365D"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A weak but statistically significant positive correlation was observed between GDF-15 and serum ferritin (r = 0.33, p = 0.03) (Figure 1C). Moderate positive correlations were also observed with total bilirubin (r = 0.41, p = 0.009) (Figure 1D), and a strong positive correlation with reticulocyte count (RETIC) (r = 0.77, p &lt; 0.0001) (Figure 1F). In contrast, a significant negative correlation was found between GDF-15 and hemoglobin levels (r = –0.64, p = 0.004) (Figure 1E).</w:t>
      </w:r>
    </w:p>
    <w:p w14:paraId="23504E37" w14:textId="77777777" w:rsidR="00F9365D" w:rsidRPr="000F1953" w:rsidRDefault="00F9365D"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In a subset of TD patients, GDF-15 levels were measured both pre- and post-transfusion. A significant reduction was observed following transfusion (8354.78 ± 740.94 pg/mL vs. 1586.77 ± 264.28 pg/mL; p &lt; 0.001) (Figure 1G).</w:t>
      </w:r>
    </w:p>
    <w:p w14:paraId="7E260E0B" w14:textId="7A459520" w:rsidR="00494312" w:rsidRPr="000F1953" w:rsidRDefault="00F9365D"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Additionally, GDF-15 levels were markedly elevated in patients with Hb H disease compared to healthy controls (p &lt; 0.001) (Table 4).</w:t>
      </w:r>
    </w:p>
    <w:p w14:paraId="1D93C7C5" w14:textId="77777777" w:rsidR="00F9365D" w:rsidRPr="000F1953" w:rsidRDefault="00F9365D" w:rsidP="00C2358C">
      <w:pPr>
        <w:spacing w:line="240" w:lineRule="auto"/>
        <w:jc w:val="both"/>
        <w:rPr>
          <w:rFonts w:asciiTheme="majorBidi" w:eastAsia="Times New Roman" w:hAnsiTheme="majorBidi" w:cstheme="majorBidi"/>
          <w:sz w:val="24"/>
          <w:szCs w:val="24"/>
          <w:rtl/>
          <w:lang w:bidi="fa-IR"/>
        </w:rPr>
      </w:pPr>
    </w:p>
    <w:p w14:paraId="20C9F993" w14:textId="77777777" w:rsidR="004D7F37" w:rsidRPr="004F327A" w:rsidRDefault="004D7F37" w:rsidP="00C2358C">
      <w:pPr>
        <w:spacing w:line="240" w:lineRule="auto"/>
        <w:jc w:val="both"/>
        <w:rPr>
          <w:rFonts w:asciiTheme="majorBidi" w:eastAsia="Times New Roman" w:hAnsiTheme="majorBidi" w:cstheme="majorBidi"/>
          <w:b/>
          <w:bCs/>
          <w:i/>
          <w:iCs/>
          <w:sz w:val="24"/>
          <w:szCs w:val="24"/>
          <w:lang w:bidi="fa-IR"/>
        </w:rPr>
      </w:pPr>
      <w:r w:rsidRPr="004F327A">
        <w:rPr>
          <w:rFonts w:asciiTheme="majorBidi" w:eastAsia="Times New Roman" w:hAnsiTheme="majorBidi" w:cstheme="majorBidi"/>
          <w:b/>
          <w:bCs/>
          <w:i/>
          <w:iCs/>
          <w:sz w:val="24"/>
          <w:szCs w:val="24"/>
          <w:lang w:bidi="fa-IR"/>
        </w:rPr>
        <w:t>Malondialdehyde as a Biomarker of Oxidative Stress: Association with Genotype and Transfusion Status</w:t>
      </w:r>
    </w:p>
    <w:p w14:paraId="0645BF39" w14:textId="77777777" w:rsidR="00F90816" w:rsidRPr="000F1953" w:rsidRDefault="00F90816"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Transfusion-dependent (TD) patients exhibited the highest malondialdehyde (MDA) levels (3.85 ± 1.71 µM), while non-transfusion-dependent (NTD) and occasionally transfusion-dependent (OTD) groups showed similar levels (2.93 ± 1.15 µM and 2.98 ± 0.97 µM, respectively). The differences in MDA concentrations among transfusion-based subgroups and healthy controls were statistically significant (p &lt; 0.001) (Figure 2A).</w:t>
      </w:r>
    </w:p>
    <w:p w14:paraId="5FCB208A" w14:textId="77777777" w:rsidR="00DA059D" w:rsidRPr="000F1953" w:rsidRDefault="00DA059D"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Across genotypic groups, ND/D patients displayed the most elevated MDA levels (4.31 ± 1.28 µM), followed by ND/ND (3.15 ± 0.80 µM), and D/D individuals (2.13 ± 0.82 µM) (Figure 2B).</w:t>
      </w:r>
    </w:p>
    <w:p w14:paraId="02EDEEF6" w14:textId="21233C40" w:rsidR="00F90816" w:rsidRPr="000F1953" w:rsidRDefault="00F90816"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A strong positive correlation was found between MDA levels and serum ferritin (r = 0.65, p &lt; 0.001) (Figure 2C). MDA also showed a modest but significant correlation with C-reactive protein (CRP) (r = 0.31, p = 0.006) (Figure 2D), and a moderate correlation with hemoglobin levels (r = 0.46, p &lt; 0.01) (Figure 2E). Additionally, MDA concentrations correlated positively with GDF-15 levels (r = 0.55, p &lt; 0.001) (Figure 2F).</w:t>
      </w:r>
    </w:p>
    <w:p w14:paraId="7CF4F7B4" w14:textId="5AEE6BB8" w:rsidR="00F90816" w:rsidRPr="000F1953" w:rsidRDefault="00F90816"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Notably, MDA levels were significantly higher in Hb H disease patients compared to healthy controls (p &lt; 0.001) (Table 4).</w:t>
      </w:r>
    </w:p>
    <w:p w14:paraId="023D34EF" w14:textId="77777777" w:rsidR="006767F6" w:rsidRPr="004F327A" w:rsidRDefault="006767F6" w:rsidP="00C2358C">
      <w:pPr>
        <w:spacing w:line="240" w:lineRule="auto"/>
        <w:jc w:val="both"/>
        <w:rPr>
          <w:rFonts w:asciiTheme="majorBidi" w:eastAsia="Times New Roman" w:hAnsiTheme="majorBidi" w:cstheme="majorBidi"/>
          <w:b/>
          <w:bCs/>
          <w:i/>
          <w:iCs/>
          <w:sz w:val="24"/>
          <w:szCs w:val="24"/>
          <w:lang w:bidi="fa-IR"/>
        </w:rPr>
      </w:pPr>
      <w:r w:rsidRPr="004F327A">
        <w:rPr>
          <w:rFonts w:asciiTheme="majorBidi" w:eastAsia="Times New Roman" w:hAnsiTheme="majorBidi" w:cstheme="majorBidi"/>
          <w:b/>
          <w:bCs/>
          <w:i/>
          <w:iCs/>
          <w:sz w:val="24"/>
          <w:szCs w:val="24"/>
          <w:lang w:bidi="fa-IR"/>
        </w:rPr>
        <w:t>Serum Ferritin Levels and Oxidative Stress in Hb H Disease</w:t>
      </w:r>
    </w:p>
    <w:p w14:paraId="471EDF16" w14:textId="44ADDA67" w:rsidR="00452752" w:rsidRPr="000F1953" w:rsidRDefault="00155FF4" w:rsidP="00C2358C">
      <w:pPr>
        <w:spacing w:line="240" w:lineRule="auto"/>
        <w:jc w:val="both"/>
        <w:rPr>
          <w:rFonts w:asciiTheme="majorBidi" w:eastAsia="Times New Roman" w:hAnsiTheme="majorBidi" w:cstheme="majorBidi"/>
          <w:sz w:val="24"/>
          <w:szCs w:val="24"/>
          <w:lang w:bidi="fa-IR"/>
        </w:rPr>
      </w:pPr>
      <w:r w:rsidRPr="000F1953">
        <w:rPr>
          <w:rFonts w:asciiTheme="majorBidi" w:eastAsia="Times New Roman" w:hAnsiTheme="majorBidi" w:cstheme="majorBidi"/>
          <w:sz w:val="24"/>
          <w:szCs w:val="24"/>
          <w:lang w:bidi="fa-IR"/>
        </w:rPr>
        <w:t xml:space="preserve">In addition to genotypic influences on iron burden, ferritin levels were also evaluated across transfusion-based clinical subgroups, alongside biomarkers of oxidative stress and inflammation. </w:t>
      </w:r>
      <w:r w:rsidR="006767F6" w:rsidRPr="000F1953">
        <w:rPr>
          <w:rFonts w:asciiTheme="majorBidi" w:eastAsia="Times New Roman" w:hAnsiTheme="majorBidi" w:cstheme="majorBidi"/>
          <w:sz w:val="24"/>
          <w:szCs w:val="24"/>
          <w:lang w:bidi="fa-IR"/>
        </w:rPr>
        <w:t>Serum ferritin levels varied significantly across transfusion subgroups in patients with Hb H disease, with an overall mean of 368.05 ± 560.76 ng/mL. Transfusion-dependent (TD) patients exhibited the highest ferritin concentrations (700.33 ± 998.76 ng/mL), followed by occasionally transfusion-dependent (OTD) patients (326.04 ± 338.35 ng/mL) and non-transfusion-dependent (NTD) individuals (253.13 ± 300.95 ng/mL</w:t>
      </w:r>
      <w:r w:rsidRPr="000F1953">
        <w:rPr>
          <w:rFonts w:asciiTheme="majorBidi" w:eastAsia="Times New Roman" w:hAnsiTheme="majorBidi" w:cstheme="majorBidi"/>
          <w:sz w:val="24"/>
          <w:szCs w:val="24"/>
          <w:lang w:bidi="fa-IR"/>
        </w:rPr>
        <w:t>). Statistical</w:t>
      </w:r>
      <w:r w:rsidR="006767F6" w:rsidRPr="000F1953">
        <w:rPr>
          <w:rFonts w:asciiTheme="majorBidi" w:eastAsia="Times New Roman" w:hAnsiTheme="majorBidi" w:cstheme="majorBidi"/>
          <w:sz w:val="24"/>
          <w:szCs w:val="24"/>
          <w:lang w:bidi="fa-IR"/>
        </w:rPr>
        <w:t xml:space="preserve"> analysis revealed significant differences between TD and NTD groups (p = 0.003), as well as between TD and OTD groups (p = 0.01). However, the difference between OTD and NTD patients did not reach statistical significance (p = 0.38)</w:t>
      </w:r>
    </w:p>
    <w:p w14:paraId="0AEAE2B2" w14:textId="77777777" w:rsidR="00155FF4" w:rsidRPr="004F327A" w:rsidRDefault="00155FF4" w:rsidP="00C2358C">
      <w:pPr>
        <w:pStyle w:val="NormalWeb"/>
        <w:jc w:val="both"/>
        <w:rPr>
          <w:rFonts w:asciiTheme="majorBidi" w:hAnsiTheme="majorBidi" w:cstheme="majorBidi"/>
          <w:b/>
          <w:bCs/>
          <w:i/>
          <w:iCs/>
          <w:lang w:bidi="fa-IR"/>
        </w:rPr>
      </w:pPr>
      <w:r w:rsidRPr="004F327A">
        <w:rPr>
          <w:rFonts w:asciiTheme="majorBidi" w:hAnsiTheme="majorBidi" w:cstheme="majorBidi"/>
          <w:b/>
          <w:bCs/>
          <w:i/>
          <w:iCs/>
          <w:lang w:bidi="fa-IR"/>
        </w:rPr>
        <w:t>Splenectomy-Associated Alterations in Oxidative, Erythropoietic, and Inflammatory Markers</w:t>
      </w:r>
    </w:p>
    <w:p w14:paraId="37EB7F2E" w14:textId="1FBBE5F6" w:rsidR="00E858FE" w:rsidRPr="000F1953" w:rsidRDefault="00CC1487" w:rsidP="00C2358C">
      <w:pPr>
        <w:spacing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E858FE" w:rsidRPr="000F1953">
        <w:rPr>
          <w:rFonts w:asciiTheme="majorBidi" w:eastAsia="Times New Roman" w:hAnsiTheme="majorBidi" w:cstheme="majorBidi"/>
          <w:sz w:val="24"/>
          <w:szCs w:val="24"/>
        </w:rPr>
        <w:t>In addition to transfusion-related variation, splenectomy status was also evaluated in relation to key clinical biomarkers.Malondialdehyde (MDA) levels were significantly higher in splenectomized patients (4.64 ± 1.36 µM) compared to non-splenectomized individuals (3.00 ± 1.23 µM; p &lt; 0.001). Reticulocyte counts were also elevated in the splenectomized group (6.80 ± 3.26%) compared to those without splenectomy (4.21 ± 3.30%; p = 0.03). Similarly, C-reactive protein (CRP) levels were significantly increased in splenectomized patients (4.18 ± 4.65 mg/L) versus non-splenectomized individuals (2.46 ± 2.08 mg/L; p = 0.009) (Figure 3)</w:t>
      </w:r>
    </w:p>
    <w:p w14:paraId="226CFEC5" w14:textId="42D1A39E" w:rsidR="00792A6A" w:rsidRPr="000F1953" w:rsidRDefault="003C57A6" w:rsidP="00C2358C">
      <w:pPr>
        <w:spacing w:line="240" w:lineRule="auto"/>
        <w:jc w:val="both"/>
        <w:rPr>
          <w:rFonts w:asciiTheme="majorBidi" w:hAnsiTheme="majorBidi" w:cstheme="majorBidi"/>
          <w:b/>
          <w:bCs/>
          <w:sz w:val="24"/>
          <w:szCs w:val="24"/>
          <w:rtl/>
          <w:lang w:bidi="fa-IR"/>
        </w:rPr>
      </w:pPr>
      <w:r w:rsidRPr="000F1953">
        <w:rPr>
          <w:rFonts w:asciiTheme="majorBidi" w:hAnsiTheme="majorBidi" w:cstheme="majorBidi"/>
          <w:b/>
          <w:bCs/>
          <w:sz w:val="24"/>
          <w:szCs w:val="24"/>
          <w:lang w:bidi="fa-IR"/>
        </w:rPr>
        <w:t xml:space="preserve">DISCUSSION </w:t>
      </w:r>
    </w:p>
    <w:p w14:paraId="445B3C76" w14:textId="79178BC1" w:rsidR="00792A6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C3078C" w:rsidRPr="000F1953">
        <w:rPr>
          <w:rFonts w:asciiTheme="majorBidi" w:hAnsiTheme="majorBidi" w:cstheme="majorBidi"/>
          <w:sz w:val="24"/>
          <w:szCs w:val="24"/>
          <w:lang w:bidi="fa-IR"/>
        </w:rPr>
        <w:t>This comprehensive analysis of patients with Hb H disease highlights the critical role of genotype in modulating disease severity by influencing a wide range of clinical and biochemical parameters. The findings demonstrate significant associations between molecular subtypes, transfusion requirements, and key biochemical markers, underscoring the multifactorial nature of Hb H pathophysiology. Prior studies have emphasized the substantial clinical and genetic heterogeneity of Hb H disease across different ethnic populations, reinforcing the importance of genotype-based risk assessment and personalized management strategies</w:t>
      </w:r>
      <w:r w:rsidR="0091138F" w:rsidRPr="000F1953">
        <w:rPr>
          <w:rFonts w:asciiTheme="majorBidi" w:hAnsiTheme="majorBidi" w:cstheme="majorBidi"/>
          <w:sz w:val="24"/>
          <w:szCs w:val="24"/>
          <w:lang w:bidi="fa-IR"/>
        </w:rPr>
        <w:t xml:space="preserve"> </w:t>
      </w:r>
      <w:r w:rsidR="002504A8"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&lt;EndNote&gt;&lt;Cite&gt;&lt;Author&gt;Abolghasemi&lt;/Author&gt;&lt;Year&gt;2022&lt;/Year&gt;&lt;RecNum&gt;14&lt;/RecNum&gt;&lt;DisplayText&gt;&lt;style face="superscript"&gt;[14]&lt;/style&gt;&lt;/DisplayText&gt;&lt;record&gt;&lt;rec-number&gt;14&lt;/rec-number&gt;&lt;foreign-keys&gt;&lt;key app="EN" db-id="vwpp5pa0laz0wtewve755txcsrrxa2vxvxp9" timestamp="1755336870"&gt;14&lt;/key&gt;&lt;/foreign-keys&gt;&lt;ref-type name="Journal Article"&gt;17&lt;/ref-type&gt;&lt;contributors&gt;&lt;authors&gt;&lt;author&gt;Abolghasemi, Hassan&lt;/author&gt;&lt;author&gt;Kamfar, Sharareh&lt;/author&gt;&lt;author&gt;Azarkeivan, Azita&lt;/author&gt;&lt;author&gt;Karimi, Mehran&lt;/author&gt;&lt;author&gt;Keikhaei, Bijan&lt;/author&gt;&lt;author&gt;Abolghasemi, Fahimeh&lt;/author&gt;&lt;author&gt;Radfar, Mohammad H&lt;/author&gt;&lt;author&gt;Eshghi, Peyman&lt;/author&gt;&lt;author&gt;Alavi, Samin&lt;/author&gt;&lt;/authors&gt;&lt;/contributors&gt;&lt;titles&gt;&lt;title&gt;Clinical and genetic characteristics of hemoglobin H disease in Iran&lt;/title&gt;&lt;secondary-title&gt;Pediatr Hematol Oncol&lt;/secondary-title&gt;&lt;/titles&gt;&lt;periodical&gt;&lt;full-title&gt;Pediatr Hematol Oncol&lt;/full-title&gt;&lt;/periodical&gt;&lt;pages&gt;489-499&lt;/pages&gt;&lt;volume&gt;39&lt;/volume&gt;&lt;number&gt;6&lt;/number&gt;&lt;dates&gt;&lt;year&gt;2022&lt;/year&gt;&lt;/dates&gt;&lt;isbn&gt;0888-0018&lt;/isbn&gt;&lt;urls&gt;&lt;/urls&gt;&lt;/record&gt;&lt;/Cite&gt;&lt;/EndNote&gt;</w:instrText>
      </w:r>
      <w:r w:rsidR="002504A8"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[14]</w:t>
      </w:r>
      <w:r w:rsidR="002504A8" w:rsidRPr="000F1953">
        <w:rPr>
          <w:rFonts w:asciiTheme="majorBidi" w:hAnsiTheme="majorBidi" w:cstheme="majorBidi"/>
          <w:sz w:val="24"/>
          <w:szCs w:val="24"/>
          <w:lang w:bidi="fa-IR"/>
        </w:rPr>
        <w:fldChar w:fldCharType="end"/>
      </w:r>
      <w:r w:rsidR="002504A8" w:rsidRPr="000F1953">
        <w:rPr>
          <w:rFonts w:asciiTheme="majorBidi" w:hAnsiTheme="majorBidi" w:cstheme="majorBidi"/>
          <w:sz w:val="24"/>
          <w:szCs w:val="24"/>
          <w:lang w:bidi="fa-IR"/>
        </w:rPr>
        <w:t>.</w:t>
      </w:r>
    </w:p>
    <w:p w14:paraId="3EBDF82C" w14:textId="6CC1FFDB" w:rsidR="00A10CB0"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C3078C" w:rsidRPr="000F1953">
        <w:rPr>
          <w:rFonts w:asciiTheme="majorBidi" w:hAnsiTheme="majorBidi" w:cstheme="majorBidi"/>
          <w:sz w:val="24"/>
          <w:szCs w:val="24"/>
          <w:lang w:bidi="fa-IR"/>
        </w:rPr>
        <w:t xml:space="preserve">In the present study, a notable gender disparity was observed across transfusion subgroups. Females accounted for a higher proportion of transfusion-dependent and occasionally transfused patients, whereas males were more frequently represented among non-transfusion-dependent individuals. While the underlying cause of this distribution remains uncertain, hormonal modulation of erythropoiesis and iron homeostasis may contribute to this trend. Estrogen, in particular, has been implicated in the regulation of hepcidin and systemic iron metabolism, suggesting a potential biological basis for sex-related differences in disease severity </w:t>
      </w:r>
      <w:r w:rsidR="002504A8"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&lt;EndNote&gt;&lt;Cite&gt;&lt;Author&gt;Ganz&lt;/Author&gt;&lt;Year&gt;2012&lt;/Year&gt;&lt;RecNum&gt;15&lt;/RecNum&gt;&lt;DisplayText&gt;&lt;style face="superscript"&gt;[15]&lt;/style&gt;&lt;/DisplayText&gt;&lt;record&gt;&lt;rec-number&gt;15&lt;/rec-number&gt;&lt;foreign-keys&gt;&lt;key app="EN" db-id="vwpp5pa0laz0wtewve755txcsrrxa2vxvxp9" timestamp="1755336870"&gt;15&lt;/key&gt;&lt;/foreign-keys&gt;&lt;ref-type name="Journal Article"&gt;17&lt;/ref-type&gt;&lt;contributors&gt;&lt;authors&gt;&lt;author&gt;Ganz, Tomas&lt;/author&gt;&lt;author&gt;Nemeth, Elizabeta&lt;/author&gt;&lt;/authors&gt;&lt;/contributors&gt;&lt;titles&gt;&lt;title&gt;Hepcidin and iron homeostasis&lt;/title&gt;&lt;secondary-title&gt;BBA Mol Cell Res&lt;/secondary-title&gt;&lt;/titles&gt;&lt;periodical&gt;&lt;full-title&gt;BBA Mol Cell Res&lt;/full-title&gt;&lt;/periodical&gt;&lt;pages&gt;1434-1443&lt;/pages&gt;&lt;volume&gt;1823&lt;/volume&gt;&lt;number&gt;9&lt;/number&gt;&lt;dates&gt;&lt;year&gt;2012&lt;/year&gt;&lt;/dates&gt;&lt;isbn&gt;0167-4889&lt;/isbn&gt;&lt;urls&gt;&lt;/urls&gt;&lt;/record&gt;&lt;/Cite&gt;&lt;/EndNote&gt;</w:instrText>
      </w:r>
      <w:r w:rsidR="002504A8"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[15]</w:t>
      </w:r>
      <w:r w:rsidR="002504A8" w:rsidRPr="000F1953">
        <w:rPr>
          <w:rFonts w:asciiTheme="majorBidi" w:hAnsiTheme="majorBidi" w:cstheme="majorBidi"/>
          <w:sz w:val="24"/>
          <w:szCs w:val="24"/>
          <w:lang w:bidi="fa-IR"/>
        </w:rPr>
        <w:fldChar w:fldCharType="end"/>
      </w:r>
      <w:r w:rsidR="002504A8" w:rsidRPr="000F1953">
        <w:rPr>
          <w:rFonts w:asciiTheme="majorBidi" w:hAnsiTheme="majorBidi" w:cstheme="majorBidi"/>
          <w:sz w:val="24"/>
          <w:szCs w:val="24"/>
          <w:lang w:bidi="fa-IR"/>
        </w:rPr>
        <w:t xml:space="preserve">. </w:t>
      </w:r>
      <w:r w:rsidR="00C3078C" w:rsidRPr="000F1953">
        <w:rPr>
          <w:rFonts w:asciiTheme="majorBidi" w:hAnsiTheme="majorBidi" w:cstheme="majorBidi"/>
          <w:sz w:val="24"/>
          <w:szCs w:val="24"/>
          <w:lang w:bidi="fa-IR"/>
        </w:rPr>
        <w:t>Further investigation into the interplay between gender, hormonal status, and clinical phenotype is warranted, particularly in light of physiological factors such as menstrual blood loss and pregnancy, which may contribute to increased transfusion requirements in female patients.</w:t>
      </w:r>
    </w:p>
    <w:p w14:paraId="328F92A8" w14:textId="085E5437" w:rsidR="00F368D3" w:rsidRPr="000F1953" w:rsidRDefault="00CC1487" w:rsidP="0009557E">
      <w:pPr>
        <w:spacing w:line="240" w:lineRule="auto"/>
        <w:jc w:val="both"/>
        <w:rPr>
          <w:rFonts w:asciiTheme="majorBidi" w:hAnsiTheme="majorBidi" w:cstheme="majorBidi"/>
          <w:sz w:val="24"/>
          <w:szCs w:val="24"/>
          <w:rtl/>
          <w:lang w:bidi="fa-IR"/>
        </w:rPr>
      </w:pPr>
      <w:r>
        <w:rPr>
          <w:rFonts w:asciiTheme="majorBidi" w:hAnsiTheme="majorBidi" w:cstheme="majorBidi"/>
          <w:sz w:val="24"/>
          <w:szCs w:val="24"/>
          <w:lang w:bidi="fa-IR"/>
        </w:rPr>
        <w:t xml:space="preserve">     </w:t>
      </w:r>
      <w:r w:rsidR="0091138F" w:rsidRPr="000F1953">
        <w:rPr>
          <w:rFonts w:asciiTheme="majorBidi" w:hAnsiTheme="majorBidi" w:cstheme="majorBidi"/>
          <w:sz w:val="24"/>
          <w:szCs w:val="24"/>
          <w:lang w:bidi="fa-IR"/>
        </w:rPr>
        <w:t xml:space="preserve">Our findings demonstrated clear genotype–phenotype correlations in Hb H disease. Non-deletional mutations, particularly in the ND/D genotype, were associated with more severe clinical manifestations and a greater transfusion requirement, consistent with previous observations </w:t>
      </w:r>
      <w:r w:rsidR="002504A8"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&lt;EndNote&gt;&lt;Cite&gt;&lt;Author&gt;Ganz&lt;/Author&gt;&lt;Year&gt;2012&lt;/Year&gt;&lt;RecNum&gt;15&lt;/RecNum&gt;&lt;DisplayText&gt;&lt;style face="superscript"&gt;[9, 15]&lt;/style&gt;&lt;/DisplayText&gt;&lt;record&gt;&lt;rec-number&gt;15&lt;/rec-number&gt;&lt;foreign-keys&gt;&lt;key app="EN" db-id="vwpp5pa0laz0wtewve755txcsrrxa2vxvxp9" timestamp="1755336870"&gt;15&lt;/key&gt;&lt;/foreign-keys&gt;&lt;ref-type name="Journal Article"&gt;17&lt;/ref-type&gt;&lt;contributors&gt;&lt;authors&gt;&lt;author&gt;Ganz, Tomas&lt;/author&gt;&lt;author&gt;Nemeth, Elizabeta&lt;/author&gt;&lt;/authors&gt;&lt;/contributors&gt;&lt;titles&gt;&lt;title&gt;Hepcidin and iron homeostasis&lt;/title&gt;&lt;secondary-title&gt;BBA Mol Cell Res&lt;/secondary-title&gt;&lt;/titles&gt;&lt;periodical&gt;&lt;full-title&gt;BBA Mol Cell Res&lt;/full-title&gt;&lt;/periodical&gt;&lt;pages&gt;1434-1443&lt;/pages&gt;&lt;volume&gt;1823&lt;/volume&gt;&lt;number&gt;9&lt;/number&gt;&lt;dates&gt;&lt;year&gt;2012&lt;/year&gt;&lt;/dates&gt;&lt;isbn&gt;0167-4889&lt;/isbn&gt;&lt;urls&gt;&lt;/urls&gt;&lt;/record&gt;&lt;/Cite&gt;&lt;Cite&gt;&lt;Author&gt;Musallam&lt;/Author&gt;&lt;Year&gt;2011&lt;/Year&gt;&lt;RecNum&gt;9&lt;/RecNum&gt;&lt;record&gt;&lt;rec-number&gt;9&lt;/rec-number&gt;&lt;foreign-keys&gt;&lt;key app="EN" db-id="vwpp5pa0laz0wtewve755txcsrrxa2vxvxp9" timestamp="1755336869"&gt;9&lt;/key&gt;&lt;/foreign-keys&gt;&lt;ref-type name="Journal Article"&gt;17&lt;/ref-type&gt;&lt;contributors&gt;&lt;authors&gt;&lt;author&gt;Musallam, Khaled M&lt;/author&gt;&lt;author&gt;Taher, Ali T&lt;/author&gt;&lt;author&gt;Duca, Lorena&lt;/author&gt;&lt;author&gt;Cesaretti, Claudia&lt;/author&gt;&lt;author&gt;Halawi, Racha&lt;/author&gt;&lt;author&gt;Cappellini, Maria Domenica %J Blood Cells, Molecules,&lt;/author&gt;&lt;author&gt;Diseases&lt;/author&gt;&lt;/authors&gt;&lt;/contributors&gt;&lt;titles&gt;&lt;title&gt;Levels of growth differentiation factor-15 are high and correlate with clinical severity in transfusion-independent patients with β thalassemia intermedia&lt;/title&gt;&lt;secondary-title&gt;Blood Cells Mol Dis&lt;/secondary-title&gt;&lt;/titles&gt;&lt;periodical&gt;&lt;full-title&gt;Blood Cells Mol Dis&lt;/full-title&gt;&lt;/periodical&gt;&lt;pages&gt;232-234&lt;/pages&gt;&lt;volume&gt;47&lt;/volume&gt;&lt;number&gt;4&lt;/number&gt;&lt;dates&gt;&lt;year&gt;2011&lt;/year&gt;&lt;/dates&gt;&lt;isbn&gt;1079-9796&lt;/isbn&gt;&lt;urls&gt;&lt;/urls&gt;&lt;/record&gt;&lt;/Cite&gt;&lt;/EndNote&gt;</w:instrText>
      </w:r>
      <w:r w:rsidR="002504A8"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[9, 15]</w:t>
      </w:r>
      <w:r w:rsidR="002504A8" w:rsidRPr="000F1953">
        <w:rPr>
          <w:rFonts w:asciiTheme="majorBidi" w:hAnsiTheme="majorBidi" w:cstheme="majorBidi"/>
          <w:sz w:val="24"/>
          <w:szCs w:val="24"/>
          <w:lang w:bidi="fa-IR"/>
        </w:rPr>
        <w:fldChar w:fldCharType="end"/>
      </w:r>
      <w:r w:rsidR="002504A8" w:rsidRPr="000F1953">
        <w:rPr>
          <w:rFonts w:asciiTheme="majorBidi" w:hAnsiTheme="majorBidi" w:cstheme="majorBidi"/>
          <w:sz w:val="24"/>
          <w:szCs w:val="24"/>
          <w:lang w:bidi="fa-IR"/>
        </w:rPr>
        <w:t xml:space="preserve">. </w:t>
      </w:r>
      <w:r w:rsidR="0091138F" w:rsidRPr="000F1953">
        <w:rPr>
          <w:rFonts w:asciiTheme="majorBidi" w:hAnsiTheme="majorBidi" w:cstheme="majorBidi"/>
          <w:sz w:val="24"/>
          <w:szCs w:val="24"/>
          <w:lang w:bidi="fa-IR"/>
        </w:rPr>
        <w:t>ND/ND patients exhibited an intermediate phenotype, both clinically and hematologically, while D/D individuals generally displayed milder profiles. This pattern appears to reflect the progressive hemoglobin instability linked to different genotypic configurations</w:t>
      </w:r>
      <w:r w:rsidR="00A10CB0" w:rsidRPr="000F1953">
        <w:rPr>
          <w:rFonts w:asciiTheme="majorBidi" w:hAnsiTheme="majorBidi" w:cstheme="majorBidi"/>
          <w:sz w:val="24"/>
          <w:szCs w:val="24"/>
          <w:rtl/>
          <w:lang w:bidi="fa-IR"/>
        </w:rPr>
        <w:t xml:space="preserve"> </w:t>
      </w:r>
      <w:r w:rsidR="00CB0D51"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&lt;EndNote&gt;&lt;Cite&gt;&lt;Author&gt;Fucharoen&lt;/Author&gt;&lt;Year&gt;2009&lt;/Year&gt;&lt;RecNum&gt;2&lt;/RecNum&gt;&lt;DisplayText&gt;&lt;style face="superscript"&gt;[2, 16]&lt;/style&gt;&lt;/DisplayText&gt;&lt;record&gt;&lt;rec-number&gt;2&lt;/rec-number&gt;&lt;foreign-keys&gt;&lt;key app="EN" db-id="vwpp5pa0laz0wtewve755txcsrrxa2vxvxp9" timestamp="1755336866"&gt;2&lt;/key&gt;&lt;/foreign-keys&gt;&lt;ref-type name="Journal Article"&gt;17&lt;/ref-type&gt;&lt;contributors&gt;&lt;authors&gt;&lt;author&gt;Fucharoen, Suthat&lt;/author&gt;&lt;author&gt;Viprakasit, Vip %J ASH Education Program Book&lt;/author&gt;&lt;/authors&gt;&lt;/contributors&gt;&lt;titles&gt;&lt;title&gt;Hb H disease: clinical course and disease modifiers&lt;/title&gt;&lt;secondary-title&gt;Hematology Am Soc Hematol Educ Program&lt;/secondary-title&gt;&lt;/titles&gt;&lt;periodical&gt;&lt;full-title&gt;Hematology Am Soc Hematol Educ Program&lt;/full-title&gt;&lt;/periodical&gt;&lt;pages&gt;26-34&lt;/pages&gt;&lt;volume&gt;2009&lt;/volume&gt;&lt;number&gt;1&lt;/number&gt;&lt;dates&gt;&lt;year&gt;2009&lt;/year&gt;&lt;/dates&gt;&lt;isbn&gt;1520-4391&lt;/isbn&gt;&lt;urls&gt;&lt;/urls&gt;&lt;/record&gt;&lt;/Cite&gt;&lt;Cite&gt;&lt;Author&gt;Farashi&lt;/Author&gt;&lt;Year&gt;2018&lt;/Year&gt;&lt;RecNum&gt;16&lt;/RecNum&gt;&lt;record&gt;&lt;rec-number&gt;16&lt;/rec-number&gt;&lt;foreign-keys&gt;&lt;key app="EN" db-id="vwpp5pa0laz0wtewve755txcsrrxa2vxvxp9" timestamp="1755336871"&gt;16&lt;/key&gt;&lt;/foreign-keys&gt;&lt;ref-type name="Journal Article"&gt;17&lt;/ref-type&gt;&lt;contributors&gt;&lt;authors&gt;&lt;author&gt;Farashi, Samaneh&lt;/author&gt;&lt;author&gt;Harteveld, Cornelis L %J Blood Cells, Molecules,&lt;/author&gt;&lt;author&gt;Diseases&lt;/author&gt;&lt;/authors&gt;&lt;/contributors&gt;&lt;titles&gt;&lt;title&gt;Molecular basis of α-thalassemia&lt;/title&gt;&lt;secondary-title&gt;Blood Cells Mol Dis&lt;/secondary-title&gt;&lt;/titles&gt;&lt;periodical&gt;&lt;full-title&gt;Blood Cells Mol Dis&lt;/full-title&gt;&lt;/periodical&gt;&lt;pages&gt;43-53&lt;/pages&gt;&lt;volume&gt;70&lt;/volume&gt;&lt;dates&gt;&lt;year&gt;2018&lt;/year&gt;&lt;/dates&gt;&lt;isbn&gt;1079-9796&lt;/isbn&gt;&lt;urls&gt;&lt;/urls&gt;&lt;/record&gt;&lt;/Cite&gt;&lt;/EndNote&gt;</w:instrText>
      </w:r>
      <w:r w:rsidR="00CB0D51"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 16]</w:t>
      </w:r>
      <w:r w:rsidR="00CB0D51" w:rsidRPr="000F1953">
        <w:rPr>
          <w:rFonts w:asciiTheme="majorBidi" w:hAnsiTheme="majorBidi" w:cstheme="majorBidi"/>
          <w:sz w:val="24"/>
          <w:szCs w:val="24"/>
          <w:lang w:bidi="fa-IR"/>
        </w:rPr>
        <w:fldChar w:fldCharType="end"/>
      </w:r>
      <w:r w:rsidR="00CB0D51" w:rsidRPr="000F1953">
        <w:rPr>
          <w:rFonts w:asciiTheme="majorBidi" w:hAnsiTheme="majorBidi" w:cstheme="majorBidi"/>
          <w:sz w:val="24"/>
          <w:szCs w:val="24"/>
          <w:lang w:bidi="fa-IR"/>
        </w:rPr>
        <w:t>.</w:t>
      </w:r>
    </w:p>
    <w:p w14:paraId="1E2DC6E2" w14:textId="6AE4D934" w:rsidR="00CB0D51"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 xml:space="preserve">Hematological findings in our study further confirmed genotype-specific differences. Patients with the D/D genotype demonstrated more pronounced microcytosis, consistent with classical thalassemic morphology </w:t>
      </w:r>
      <w:r w:rsidR="00866840"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&lt;EndNote&gt;&lt;Cite&gt;&lt;Author&gt;Yao&lt;/Author&gt;&lt;Year&gt;2019&lt;/Year&gt;&lt;RecNum&gt;6&lt;/RecNum&gt;&lt;DisplayText&gt;&lt;style face="superscript"&gt;[6]&lt;/style&gt;&lt;/DisplayText&gt;&lt;record&gt;&lt;rec-number&gt;6&lt;/rec-number&gt;&lt;foreign-keys&gt;&lt;key app="EN" db-id="vwpp5pa0laz0wtewve755txcsrrxa2vxvxp9" timestamp="1755336868"&gt;6&lt;/key&gt;&lt;/foreign-keys&gt;&lt;ref-type name="Journal Article"&gt;17&lt;/ref-type&gt;&lt;contributors&gt;&lt;authors&gt;&lt;author&gt;Yao, Xi&lt;/author&gt;&lt;author&gt;Xu, Lu-Hong&lt;/author&gt;&lt;author&gt;Xu, Hong-Gui&lt;/author&gt;&lt;author&gt;Li, Xin-Yu&lt;/author&gt;&lt;author&gt;Liu, Yong&lt;/author&gt;&lt;author&gt;Fang, Jian-Pei %J Hemoglobin&lt;/author&gt;&lt;/authors&gt;&lt;/contributors&gt;&lt;titles&gt;&lt;title&gt;Iron metabolism and oxidative status in patients with Hb H disease&lt;/title&gt;&lt;secondary-title&gt;Hemoglobin&lt;/secondary-title&gt;&lt;/titles&gt;&lt;periodical&gt;&lt;full-title&gt;Hemoglobin&lt;/full-title&gt;&lt;/periodical&gt;&lt;pages&gt;38-41&lt;/pages&gt;&lt;volume&gt;43&lt;/volume&gt;&lt;number&gt;1&lt;/number&gt;&lt;dates&gt;&lt;year&gt;2019&lt;/year&gt;&lt;/dates&gt;&lt;isbn&gt;0363-0269&lt;/isbn&gt;&lt;urls&gt;&lt;/urls&gt;&lt;/record&gt;&lt;/Cite&gt;&lt;/EndNote&gt;</w:instrText>
      </w:r>
      <w:r w:rsidR="00866840"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[6]</w:t>
      </w:r>
      <w:r w:rsidR="00866840" w:rsidRPr="000F1953">
        <w:rPr>
          <w:rFonts w:asciiTheme="majorBidi" w:hAnsiTheme="majorBidi" w:cstheme="majorBidi"/>
          <w:sz w:val="24"/>
          <w:szCs w:val="24"/>
          <w:lang w:bidi="fa-IR"/>
        </w:rPr>
        <w:fldChar w:fldCharType="end"/>
      </w:r>
      <w:r w:rsidR="00866840" w:rsidRPr="000F1953">
        <w:rPr>
          <w:rFonts w:asciiTheme="majorBidi" w:hAnsiTheme="majorBidi" w:cstheme="majorBidi"/>
          <w:sz w:val="24"/>
          <w:szCs w:val="24"/>
          <w:rtl/>
          <w:lang w:bidi="fa-IR"/>
        </w:rPr>
        <w:t>.</w:t>
      </w:r>
      <w:r w:rsidR="00866840" w:rsidRPr="000F1953">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Hemoglobin levels, however, were relatively higher in ND/ND individuals, reflecting less severe anemia. Notably, ND/D patients demonstrated the highest Hb H levels, likely due to a more profound globin chain imbalance and ineffective erythropoiesis</w:t>
      </w:r>
      <w:r w:rsidR="00CB0D51" w:rsidRPr="000F1953">
        <w:rPr>
          <w:rFonts w:asciiTheme="majorBidi" w:hAnsiTheme="majorBidi" w:cstheme="majorBidi"/>
          <w:sz w:val="24"/>
          <w:szCs w:val="24"/>
          <w:lang w:bidi="fa-IR"/>
        </w:rPr>
        <w:t xml:space="preserve"> </w:t>
      </w:r>
      <w:r w:rsidR="00866840"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&lt;EndNote&gt;&lt;Cite&gt;&lt;Author&gt;Fucharoen&lt;/Author&gt;&lt;Year&gt;2009&lt;/Year&gt;&lt;RecNum&gt;2&lt;/RecNum&gt;&lt;DisplayText&gt;&lt;style face="superscript"&gt;[2, 17]&lt;/style&gt;&lt;/DisplayText&gt;&lt;record&gt;&lt;rec-number&gt;2&lt;/rec-number&gt;&lt;foreign-keys&gt;&lt;key app="EN" db-id="vwpp5pa0laz0wtewve755txcsrrxa2vxvxp9" timestamp="1755336866"&gt;2&lt;/key&gt;&lt;/foreign-keys&gt;&lt;ref-type name="Journal Article"&gt;17&lt;/ref-type&gt;&lt;contributors&gt;&lt;authors&gt;&lt;author&gt;Fucharoen, Suthat&lt;/author&gt;&lt;author&gt;Viprakasit, Vip %J ASH Education Program Book&lt;/author&gt;&lt;/authors&gt;&lt;/contributors&gt;&lt;titles&gt;&lt;title&gt;Hb H disease: clinical course and disease modifiers&lt;/title&gt;&lt;secondary-title&gt;Hematology Am Soc Hematol Educ Program&lt;/secondary-title&gt;&lt;/titles&gt;&lt;periodical&gt;&lt;full-title&gt;Hematology Am Soc Hematol Educ Program&lt;/full-title&gt;&lt;/periodical&gt;&lt;pages&gt;26-34&lt;/pages&gt;&lt;volume&gt;2009&lt;/volume&gt;&lt;number&gt;1&lt;/number&gt;&lt;dates&gt;&lt;year&gt;2009&lt;/year&gt;&lt;/dates&gt;&lt;isbn&gt;1520-4391&lt;/isbn&gt;&lt;urls&gt;&lt;/urls&gt;&lt;/record&gt;&lt;/Cite&gt;&lt;Cite&gt;&lt;Author&gt;Chui&lt;/Author&gt;&lt;Year&gt;2005&lt;/Year&gt;&lt;RecNum&gt;17&lt;/RecNum&gt;&lt;record&gt;&lt;rec-number&gt;17&lt;/rec-number&gt;&lt;foreign-keys&gt;&lt;key app="EN" db-id="vwpp5pa0laz0wtewve755txcsrrxa2vxvxp9" timestamp="1755336871"&gt;17&lt;/key&gt;&lt;/foreign-keys&gt;&lt;ref-type name="Journal Article"&gt;17&lt;/ref-type&gt;&lt;contributors&gt;&lt;authors&gt;&lt;author&gt;Chui, David HK %J Annals of the New York Academy of Sciences&lt;/author&gt;&lt;/authors&gt;&lt;/contributors&gt;&lt;titles&gt;&lt;title&gt;α</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Thalassemia: Hb H disease and Hb Barts hydrops fetalis&lt;/title&gt;&lt;secondary-title&gt;Ann N Y Acad Sci&lt;/secondary-title&gt;&lt;/titles&gt;&lt;periodical&gt;&lt;full-title&gt;Ann N Y Acad Sci&lt;/full-title&gt;&lt;/periodical&gt;&lt;pages&gt;25-32&lt;/pages&gt;&lt;volume&gt;1054&lt;/volume&gt;&lt;number&gt;1&lt;/number&gt;&lt;dates&gt;&lt;year&gt;2005&lt;/year&gt;&lt;/dates&gt;&lt;isbn&gt;0077-8923&lt;/isbn&gt;&lt;urls&gt;&lt;/urls&gt;&lt;/record&gt;&lt;/Cite&gt;&lt;/EndNote&gt;</w:instrText>
      </w:r>
      <w:r w:rsidR="00866840"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 17]</w:t>
      </w:r>
      <w:r w:rsidR="00866840" w:rsidRPr="000F1953">
        <w:rPr>
          <w:rFonts w:asciiTheme="majorBidi" w:hAnsiTheme="majorBidi" w:cstheme="majorBidi"/>
          <w:sz w:val="24"/>
          <w:szCs w:val="24"/>
          <w:lang w:bidi="fa-IR"/>
        </w:rPr>
        <w:fldChar w:fldCharType="end"/>
      </w:r>
      <w:r w:rsidR="00866840" w:rsidRPr="000F1953">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 xml:space="preserve">supporting earlier evidence linking non-deletional mutations to hemoglobin instability and more severe clinical manifestations </w:t>
      </w:r>
      <w:r w:rsidR="00CB0D51"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&lt;EndNote&gt;&lt;Cite&gt;&lt;Author&gt;Ünal&lt;/Author&gt;&lt;Year&gt;2015&lt;/Year&gt;&lt;RecNum&gt;18&lt;/RecNum&gt;&lt;DisplayText&gt;&lt;style face="superscript"&gt;[18]&lt;/style&gt;&lt;/DisplayText&gt;&lt;record&gt;&lt;rec-number&gt;18&lt;/rec-number&gt;&lt;foreign-keys&gt;&lt;key app="EN" db-id="vwpp5pa0laz0wtewve755txcsrrxa2vxvxp9" timestamp="1755336872"&gt;18&lt;/key&gt;&lt;/foreign-keys&gt;&lt;ref-type name="Journal Article"&gt;17&lt;/ref-type&gt;&lt;contributors&gt;&lt;authors&gt;&lt;author&gt;Ünal, Şule&lt;/author&gt;&lt;author&gt;Gümrük, Fatma %J Turkish Journal of Hematology&lt;/author&gt;&lt;/authors&gt;&lt;/contributors&gt;&lt;titles&gt;&lt;title&gt;The Hematological and molecular spectrum of α-thalassemias in Turkey: The Hacettepe Experience&lt;/title&gt;&lt;secondary-title&gt;Turk J Haematol&lt;/secondary-title&gt;&lt;/titles&gt;&lt;periodical&gt;&lt;full-title&gt;Turk J Haematol&lt;/full-title&gt;&lt;/periodical&gt;&lt;pages&gt;136&lt;/pages&gt;&lt;volume&gt;32&lt;/volume&gt;&lt;number&gt;2&lt;/number&gt;&lt;dates&gt;&lt;year&gt;2015&lt;/year&gt;&lt;/dates&gt;&lt;urls&gt;&lt;/urls&gt;&lt;/record&gt;&lt;/Cite&gt;&lt;/EndNote&gt;</w:instrText>
      </w:r>
      <w:r w:rsidR="00CB0D51"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[18]</w:t>
      </w:r>
      <w:r w:rsidR="00CB0D51" w:rsidRPr="000F1953">
        <w:rPr>
          <w:rFonts w:asciiTheme="majorBidi" w:hAnsiTheme="majorBidi" w:cstheme="majorBidi"/>
          <w:sz w:val="24"/>
          <w:szCs w:val="24"/>
          <w:lang w:bidi="fa-IR"/>
        </w:rPr>
        <w:fldChar w:fldCharType="end"/>
      </w:r>
      <w:r w:rsidR="00CB0D51" w:rsidRPr="000F1953">
        <w:rPr>
          <w:rFonts w:asciiTheme="majorBidi" w:hAnsiTheme="majorBidi" w:cstheme="majorBidi"/>
          <w:sz w:val="24"/>
          <w:szCs w:val="24"/>
          <w:lang w:bidi="fa-IR"/>
        </w:rPr>
        <w:t>.</w:t>
      </w:r>
    </w:p>
    <w:p w14:paraId="3953EEA0" w14:textId="2F436F31" w:rsidR="00CB0D51"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 xml:space="preserve">Ferritin concentrations were significantly higher in ND/D patients compared to those with the D/D genotype, potentially reflecting a combination of increased transfusion burden and enhanced ineffective erythropoiesis </w:t>
      </w:r>
      <w:r w:rsidR="00CB0D51"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&lt;EndNote&gt;&lt;Cite&gt;&lt;Author&gt;Yao&lt;/Author&gt;&lt;Year&gt;2019&lt;/Year&gt;&lt;RecNum&gt;6&lt;/RecNum&gt;&lt;DisplayText&gt;&lt;style face="superscript"&gt;[6]&lt;/style&gt;&lt;/DisplayText&gt;&lt;record&gt;&lt;rec-number&gt;6&lt;/rec-number&gt;&lt;foreign-keys&gt;&lt;key app="EN" db-id="vwpp5pa0laz0wtewve755txcsrrxa2vxvxp9" timestamp="1755336868"&gt;6&lt;/key&gt;&lt;/foreign-keys&gt;&lt;ref-type name="Journal Article"&gt;17&lt;/ref-type&gt;&lt;contributors&gt;&lt;authors&gt;&lt;author&gt;Yao, Xi&lt;/author&gt;&lt;author&gt;Xu, Lu-Hong&lt;/author&gt;&lt;author&gt;Xu, Hong-Gui&lt;/author&gt;&lt;author&gt;Li, Xin-Yu&lt;/author&gt;&lt;author&gt;Liu, Yong&lt;/author&gt;&lt;author&gt;Fang, Jian-Pei %J Hemoglobin&lt;/author&gt;&lt;/authors&gt;&lt;/contributors&gt;&lt;titles&gt;&lt;title&gt;Iron metabolism and oxidative status in patients with Hb H disease&lt;/title&gt;&lt;secondary-title&gt;Hemoglobin&lt;/secondary-title&gt;&lt;/titles&gt;&lt;periodical&gt;&lt;full-title&gt;Hemoglobin&lt;/full-title&gt;&lt;/periodical&gt;&lt;pages&gt;38-41&lt;/pages&gt;&lt;volume&gt;43&lt;/volume&gt;&lt;number&gt;1&lt;/number&gt;&lt;dates&gt;&lt;year&gt;2019&lt;/year&gt;&lt;/dates&gt;&lt;isbn&gt;0363-0269&lt;/isbn&gt;&lt;urls&gt;&lt;/urls&gt;&lt;/record&gt;&lt;/Cite&gt;&lt;/EndNote&gt;</w:instrText>
      </w:r>
      <w:r w:rsidR="00CB0D51"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[6]</w:t>
      </w:r>
      <w:r w:rsidR="00CB0D51" w:rsidRPr="000F1953">
        <w:rPr>
          <w:rFonts w:asciiTheme="majorBidi" w:hAnsiTheme="majorBidi" w:cstheme="majorBidi"/>
          <w:sz w:val="24"/>
          <w:szCs w:val="24"/>
          <w:lang w:bidi="fa-IR"/>
        </w:rPr>
        <w:fldChar w:fldCharType="end"/>
      </w:r>
      <w:r w:rsidR="00CB0D51" w:rsidRPr="000F1953">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However, given the variability in transfusion dependency across genotypes, comparisons of ferritin levels should be interpreted with caution. Nonetheless, these findings support the utility of genotypic classification in anticipating anemia severity and associated iron burden in Hb H disease.</w:t>
      </w:r>
    </w:p>
    <w:p w14:paraId="710FF1B3" w14:textId="2C42035E" w:rsidR="00CB0D51"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The mechanisms underlying iron overload in Hb H disease appear to be multifactorial, extending beyond transfusional exposure alone. In our cross-sectional study, ferritin levels were significantly higher in transfusion-dependent patients compared to occasionally or non-transfused individuals. This suggests that iron accumulation results from both exogenous (transfusional) and endogenous (dysregulated absorption) pathways. While repeated transfusions directly increase iron stores, ineffective erythropoiesis may promote intestinal iron absorption by suppressing hepcidin expression, as reported in other thalassemia syndromes</w:t>
      </w:r>
      <w:r w:rsidR="00CB0D51" w:rsidRPr="000F1953">
        <w:rPr>
          <w:rFonts w:asciiTheme="majorBidi" w:hAnsiTheme="majorBidi" w:cstheme="majorBidi"/>
          <w:sz w:val="24"/>
          <w:szCs w:val="24"/>
          <w:lang w:bidi="fa-IR"/>
        </w:rPr>
        <w:t xml:space="preserve"> </w:t>
      </w:r>
      <w:r w:rsidR="00CB0D51" w:rsidRPr="000F1953">
        <w:rPr>
          <w:rFonts w:asciiTheme="majorBidi" w:hAnsiTheme="majorBidi" w:cstheme="majorBidi"/>
          <w:sz w:val="24"/>
          <w:szCs w:val="24"/>
          <w:lang w:bidi="fa-IR"/>
        </w:rPr>
        <w:fldChar w:fldCharType="begin">
          <w:fldData xml:space="preserve">PEVuZE5vdGU+PENpdGU+PEF1dGhvcj5UYW5ubzwvQXV0aG9yPjxZZWFyPjIwMDc8L1llYXI+PFJl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</w:fldData>
        </w:fldChar>
      </w:r>
      <w:r w:rsidR="0009557E">
        <w:rPr>
          <w:rFonts w:asciiTheme="majorBidi" w:hAnsiTheme="majorBidi" w:cstheme="majorBidi"/>
          <w:sz w:val="24"/>
          <w:szCs w:val="24"/>
          <w:lang w:bidi="fa-IR"/>
        </w:rPr>
        <w:instrText xml:space="preserve"> ADDIN EN.CITE </w:instrText>
      </w:r>
      <w:r w:rsidR="0009557E">
        <w:rPr>
          <w:rFonts w:asciiTheme="majorBidi" w:hAnsiTheme="majorBidi" w:cstheme="majorBidi"/>
          <w:sz w:val="24"/>
          <w:szCs w:val="24"/>
          <w:lang w:bidi="fa-IR"/>
        </w:rPr>
        <w:fldChar w:fldCharType="begin">
          <w:fldData xml:space="preserve">PEVuZE5vdGU+PENpdGU+PEF1dGhvcj5UYW5ubzwvQXV0aG9yPjxZZWFyPjIwMDc8L1llYXI+PFJl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</w:fldData>
        </w:fldChar>
      </w:r>
      <w:r w:rsidR="0009557E">
        <w:rPr>
          <w:rFonts w:asciiTheme="majorBidi" w:hAnsiTheme="majorBidi" w:cstheme="majorBidi"/>
          <w:sz w:val="24"/>
          <w:szCs w:val="24"/>
          <w:lang w:bidi="fa-IR"/>
        </w:rPr>
        <w:instrText xml:space="preserve"> ADDIN EN.CITE.DATA </w:instrText>
      </w:r>
      <w:r w:rsidR="0009557E">
        <w:rPr>
          <w:rFonts w:asciiTheme="majorBidi" w:hAnsiTheme="majorBidi" w:cstheme="majorBidi"/>
          <w:sz w:val="24"/>
          <w:szCs w:val="24"/>
          <w:lang w:bidi="fa-IR"/>
        </w:rPr>
      </w:r>
      <w:r w:rsidR="0009557E">
        <w:rPr>
          <w:rFonts w:asciiTheme="majorBidi" w:hAnsiTheme="majorBidi" w:cstheme="majorBidi"/>
          <w:sz w:val="24"/>
          <w:szCs w:val="24"/>
          <w:lang w:bidi="fa-IR"/>
        </w:rPr>
        <w:fldChar w:fldCharType="end"/>
      </w:r>
      <w:r w:rsidR="00CB0D51" w:rsidRPr="000F1953">
        <w:rPr>
          <w:rFonts w:asciiTheme="majorBidi" w:hAnsiTheme="majorBidi" w:cstheme="majorBidi"/>
          <w:sz w:val="24"/>
          <w:szCs w:val="24"/>
          <w:lang w:bidi="fa-IR"/>
        </w:rPr>
      </w:r>
      <w:r w:rsidR="00CB0D51"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[8, 15, 19]</w:t>
      </w:r>
      <w:r w:rsidR="00CB0D51" w:rsidRPr="000F1953">
        <w:rPr>
          <w:rFonts w:asciiTheme="majorBidi" w:hAnsiTheme="majorBidi" w:cstheme="majorBidi"/>
          <w:sz w:val="24"/>
          <w:szCs w:val="24"/>
          <w:lang w:bidi="fa-IR"/>
        </w:rPr>
        <w:fldChar w:fldCharType="end"/>
      </w:r>
      <w:r w:rsidR="00CB0D51" w:rsidRPr="000F1953">
        <w:rPr>
          <w:rFonts w:asciiTheme="majorBidi" w:hAnsiTheme="majorBidi" w:cstheme="majorBidi"/>
          <w:sz w:val="24"/>
          <w:szCs w:val="24"/>
          <w:lang w:bidi="fa-IR"/>
        </w:rPr>
        <w:t xml:space="preserve">. </w:t>
      </w:r>
      <w:r w:rsidR="003837C6" w:rsidRPr="000F1953">
        <w:rPr>
          <w:rFonts w:asciiTheme="majorBidi" w:hAnsiTheme="majorBidi" w:cstheme="majorBidi"/>
          <w:sz w:val="24"/>
          <w:szCs w:val="24"/>
          <w:lang w:bidi="fa-IR"/>
        </w:rPr>
        <w:t>Although hepcidin was not measured in our study, the observation of elevated ferritin in less-transfused patients supports the possibility of endogenous iron loading. These findings highlight the importance of evaluating iron burden in relation to both transfusion history and erythropoietic activity</w:t>
      </w:r>
      <w:r w:rsidR="00CB0D51" w:rsidRPr="000F1953">
        <w:rPr>
          <w:rFonts w:asciiTheme="majorBidi" w:hAnsiTheme="majorBidi" w:cstheme="majorBidi"/>
          <w:sz w:val="24"/>
          <w:szCs w:val="24"/>
          <w:lang w:bidi="fa-IR"/>
        </w:rPr>
        <w:t>.</w:t>
      </w:r>
    </w:p>
    <w:p w14:paraId="1CF169B6" w14:textId="5F86133D" w:rsidR="000407CC"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8C6D64" w:rsidRPr="000F1953">
        <w:rPr>
          <w:rFonts w:asciiTheme="majorBidi" w:hAnsiTheme="majorBidi" w:cstheme="majorBidi"/>
          <w:sz w:val="24"/>
          <w:szCs w:val="24"/>
          <w:lang w:bidi="fa-IR"/>
        </w:rPr>
        <w:t>Molecular characterization revealed distinct patterns of α-globin mutations within the transfusion-dependent subgroup. This group demonstrated greater genotypic diversity, with a predominance of non-deletional variants — particularly compound heterozygous combinations involving the</w:t>
      </w:r>
      <w:r w:rsidR="008C6D64" w:rsidRPr="000F1953">
        <w:rPr>
          <w:rFonts w:asciiTheme="majorBidi" w:hAnsiTheme="majorBidi" w:cstheme="majorBidi"/>
          <w:sz w:val="24"/>
          <w:szCs w:val="24"/>
        </w:rPr>
        <w:t>--</w:t>
      </w:r>
      <w:r w:rsidR="008C6D64" w:rsidRPr="000F1953">
        <w:rPr>
          <w:rFonts w:asciiTheme="majorBidi" w:hAnsiTheme="majorBidi" w:cstheme="majorBidi"/>
          <w:sz w:val="24"/>
          <w:szCs w:val="24"/>
          <w:vertAlign w:val="superscript"/>
        </w:rPr>
        <w:t>Med</w:t>
      </w:r>
      <w:r w:rsidR="008C6D64" w:rsidRPr="000F1953">
        <w:rPr>
          <w:rFonts w:asciiTheme="majorBidi" w:hAnsiTheme="majorBidi" w:cstheme="majorBidi"/>
          <w:sz w:val="24"/>
          <w:szCs w:val="24"/>
        </w:rPr>
        <w:t xml:space="preserve"> </w:t>
      </w:r>
      <w:r w:rsidR="008C6D64" w:rsidRPr="000F1953">
        <w:rPr>
          <w:rFonts w:asciiTheme="majorBidi" w:hAnsiTheme="majorBidi" w:cstheme="majorBidi"/>
          <w:sz w:val="24"/>
          <w:szCs w:val="24"/>
          <w:lang w:bidi="fa-IR"/>
        </w:rPr>
        <w:t xml:space="preserve">deletion. Among these, the </w:t>
      </w:r>
      <w:r w:rsidR="008C6D64" w:rsidRPr="000F1953">
        <w:rPr>
          <w:rFonts w:asciiTheme="majorBidi" w:hAnsiTheme="majorBidi" w:cstheme="majorBidi"/>
          <w:sz w:val="24"/>
          <w:szCs w:val="24"/>
        </w:rPr>
        <w:t>--</w:t>
      </w:r>
      <w:r w:rsidR="008C6D64" w:rsidRPr="000F1953">
        <w:rPr>
          <w:rFonts w:asciiTheme="majorBidi" w:hAnsiTheme="majorBidi" w:cstheme="majorBidi"/>
          <w:sz w:val="24"/>
          <w:szCs w:val="24"/>
          <w:vertAlign w:val="superscript"/>
        </w:rPr>
        <w:t>Med</w:t>
      </w:r>
      <w:r w:rsidR="008C6D64" w:rsidRPr="000F1953">
        <w:rPr>
          <w:rFonts w:asciiTheme="majorBidi" w:hAnsiTheme="majorBidi" w:cstheme="majorBidi"/>
          <w:sz w:val="24"/>
          <w:szCs w:val="24"/>
        </w:rPr>
        <w:t xml:space="preserve"> / α</w:t>
      </w:r>
      <w:r w:rsidR="008C6D64" w:rsidRPr="000F1953">
        <w:rPr>
          <w:rFonts w:asciiTheme="majorBidi" w:hAnsiTheme="majorBidi" w:cstheme="majorBidi"/>
          <w:sz w:val="24"/>
          <w:szCs w:val="24"/>
          <w:vertAlign w:val="superscript"/>
        </w:rPr>
        <w:t>CS</w:t>
      </w:r>
      <w:r w:rsidR="008C6D64" w:rsidRPr="000F1953">
        <w:rPr>
          <w:rFonts w:asciiTheme="majorBidi" w:hAnsiTheme="majorBidi" w:cstheme="majorBidi"/>
          <w:sz w:val="24"/>
          <w:szCs w:val="24"/>
        </w:rPr>
        <w:t xml:space="preserve"> α</w:t>
      </w:r>
      <w:r w:rsidR="008C6D64" w:rsidRPr="000F1953">
        <w:rPr>
          <w:rFonts w:asciiTheme="majorBidi" w:hAnsiTheme="majorBidi" w:cstheme="majorBidi"/>
          <w:sz w:val="24"/>
          <w:szCs w:val="24"/>
          <w:lang w:bidi="fa-IR"/>
        </w:rPr>
        <w:t xml:space="preserve"> and </w:t>
      </w:r>
      <w:r w:rsidR="008C6D64" w:rsidRPr="000F1953">
        <w:rPr>
          <w:rFonts w:asciiTheme="majorBidi" w:hAnsiTheme="majorBidi" w:cstheme="majorBidi"/>
          <w:sz w:val="24"/>
          <w:szCs w:val="24"/>
        </w:rPr>
        <w:t>--</w:t>
      </w:r>
      <w:r w:rsidR="008C6D64" w:rsidRPr="000F1953">
        <w:rPr>
          <w:rFonts w:asciiTheme="majorBidi" w:hAnsiTheme="majorBidi" w:cstheme="majorBidi"/>
          <w:sz w:val="24"/>
          <w:szCs w:val="24"/>
          <w:vertAlign w:val="superscript"/>
        </w:rPr>
        <w:t>Med</w:t>
      </w:r>
      <w:r w:rsidR="008C6D64" w:rsidRPr="000F1953">
        <w:rPr>
          <w:rFonts w:asciiTheme="majorBidi" w:hAnsiTheme="majorBidi" w:cstheme="majorBidi"/>
          <w:sz w:val="24"/>
          <w:szCs w:val="24"/>
        </w:rPr>
        <w:t xml:space="preserve"> / α</w:t>
      </w:r>
      <w:r w:rsidR="008C6D64" w:rsidRPr="000F1953">
        <w:rPr>
          <w:rFonts w:asciiTheme="majorBidi" w:hAnsiTheme="majorBidi" w:cstheme="majorBidi"/>
          <w:sz w:val="24"/>
          <w:szCs w:val="24"/>
          <w:vertAlign w:val="superscript"/>
        </w:rPr>
        <w:t>PolyA2</w:t>
      </w:r>
      <w:r w:rsidR="008C6D64" w:rsidRPr="000F1953">
        <w:rPr>
          <w:rFonts w:asciiTheme="majorBidi" w:hAnsiTheme="majorBidi" w:cstheme="majorBidi"/>
          <w:sz w:val="24"/>
          <w:szCs w:val="24"/>
        </w:rPr>
        <w:t>α</w:t>
      </w:r>
      <w:r w:rsidR="008C6D64" w:rsidRPr="000F1953">
        <w:rPr>
          <w:rFonts w:asciiTheme="majorBidi" w:hAnsiTheme="majorBidi" w:cstheme="majorBidi"/>
          <w:sz w:val="24"/>
          <w:szCs w:val="24"/>
          <w:lang w:bidi="fa-IR"/>
        </w:rPr>
        <w:t xml:space="preserve"> genotypes were notably frequent, suggesting that these specific configurations confer increased hemoglobin instability and more severe ineffective erythropoiesis</w:t>
      </w:r>
      <w:r w:rsidR="000407CC" w:rsidRPr="000F1953">
        <w:rPr>
          <w:rFonts w:asciiTheme="majorBidi" w:hAnsiTheme="majorBidi" w:cstheme="majorBidi"/>
          <w:sz w:val="24"/>
          <w:szCs w:val="24"/>
          <w:lang w:bidi="fa-IR"/>
        </w:rPr>
        <w:t xml:space="preserve"> </w:t>
      </w:r>
      <w:r w:rsidR="00905F79"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&lt;EndNote&gt;&lt;Cite&gt;&lt;Author&gt;Fucharoen&lt;/Author&gt;&lt;Year&gt;2009&lt;/Year&gt;&lt;RecNum&gt;2&lt;/RecNum&gt;&lt;DisplayText&gt;&lt;style face="superscript"&gt;[2, 20]&lt;/style&gt;&lt;/DisplayText&gt;&lt;record&gt;&lt;rec-number&gt;2&lt;/rec-number&gt;&lt;foreign-keys&gt;&lt;key app="EN" db-id="vwpp5pa0laz0wtewve755txcsrrxa2vxvxp9" timestamp="1755336866"&gt;2&lt;/key&gt;&lt;/foreign-keys&gt;&lt;ref-type name="Journal Article"&gt;17&lt;/ref-type&gt;&lt;contributors&gt;&lt;authors&gt;&lt;author&gt;Fucharoen, Suthat&lt;/author&gt;&lt;author&gt;Viprakasit, Vip %J ASH Education Program Book&lt;/author&gt;&lt;/authors&gt;&lt;/contributors&gt;&lt;titles&gt;&lt;title&gt;Hb H disease: clinical course and disease modifiers&lt;/title&gt;&lt;secondary-title&gt;Hematology Am Soc Hematol Educ Program&lt;/secondary-title&gt;&lt;/titles&gt;&lt;periodical&gt;&lt;full-title&gt;Hematology Am Soc Hematol Educ Program&lt;/full-title&gt;&lt;/periodical&gt;&lt;pages&gt;26-34&lt;/pages&gt;&lt;volume&gt;2009&lt;/volume&gt;&lt;number&gt;1&lt;/number&gt;&lt;dates&gt;&lt;year&gt;2009&lt;/year&gt;&lt;/dates&gt;&lt;isbn&gt;1520-4391&lt;/isbn&gt;&lt;urls&gt;&lt;/urls&gt;&lt;/record&gt;&lt;/Cite&gt;&lt;Cite&gt;&lt;Author&gt;Taher&lt;/Author&gt;&lt;Year&gt;2018&lt;/Year&gt;&lt;RecNum&gt;21&lt;/RecNum&gt;&lt;record&gt;&lt;rec-number&gt;21&lt;/rec-number&gt;&lt;foreign-keys&gt;&lt;key app="EN" db-id="fadwdfwwssttvyed0pcvzx9garwzd0eztp5w" timestamp="1749487007"&gt;21&lt;/key&gt;&lt;/foreign-keys&gt;&lt;ref-type name="Journal Article"&gt;17&lt;/ref-type&gt;&lt;contributors&gt;&lt;authors&gt;&lt;author&gt;Taher, Ali T&lt;/author&gt;&lt;author&gt;Weatherall, David J&lt;/author&gt;&lt;author&gt;Cappellini, Maria Domenica %J The Lancet&lt;/author&gt;&lt;/authors&gt;&lt;/contributors&gt;&lt;titles&gt;&lt;title&gt;Thalassaemia&lt;/title&gt;&lt;/titles&gt;&lt;pages&gt;155-167&lt;/pages&gt;&lt;volume&gt;391&lt;/volume&gt;&lt;number&gt;10116&lt;/number&gt;&lt;dates&gt;&lt;year&gt;2018&lt;/year&gt;&lt;/dates&gt;&lt;isbn&gt;0140-6736&lt;/isbn&gt;&lt;urls&gt;&lt;/urls&gt;&lt;/record&gt;&lt;/Cite&gt;&lt;/EndNote&gt;</w:instrText>
      </w:r>
      <w:r w:rsidR="00905F79"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 20]</w:t>
      </w:r>
      <w:r w:rsidR="00905F79"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w:t>
      </w:r>
      <w:r w:rsidR="005F0A78" w:rsidRPr="000F1953">
        <w:rPr>
          <w:rFonts w:asciiTheme="majorBidi" w:hAnsiTheme="majorBidi" w:cstheme="majorBidi"/>
          <w:sz w:val="24"/>
          <w:szCs w:val="24"/>
          <w:lang w:bidi="fa-IR"/>
        </w:rPr>
        <w:t xml:space="preserve"> </w:t>
      </w:r>
      <w:r w:rsidR="000407CC" w:rsidRPr="000F1953">
        <w:rPr>
          <w:rFonts w:asciiTheme="majorBidi" w:hAnsiTheme="majorBidi" w:cstheme="majorBidi"/>
          <w:sz w:val="24"/>
          <w:szCs w:val="24"/>
          <w:lang w:bidi="fa-IR"/>
        </w:rPr>
        <w:t xml:space="preserve">Additionally the –(α)20.5 / α-5ntα genotype, observed in five transfusion-dependent and six non-transfusion-dependent individuals, represents a relatively frequent compound heterozygous combination in our cross-sectional study. Its distribution across both severe and milder clinical phenotypes highlights the complexity of genotype–phenotype correlations in Hb H disease and suggests that its clinical expression may be influenced by genetic or environmental modifiers. Previous reports have described the variable severity of these mutations, with the 5-nt deletion specifically implicated in disrupting mRNA stability and α-globin protein synthesis </w:t>
      </w:r>
      <w:r w:rsidR="00E16E76" w:rsidRPr="000F1953">
        <w:rPr>
          <w:rFonts w:asciiTheme="majorBidi" w:hAnsiTheme="majorBidi" w:cstheme="majorBidi"/>
          <w:sz w:val="24"/>
          <w:szCs w:val="24"/>
          <w:lang w:bidi="fa-IR"/>
        </w:rPr>
        <w:t xml:space="preserve"> </w:t>
      </w:r>
      <w:r w:rsidR="00E16E76"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&lt;EndNote&gt;&lt;Cite&gt;&lt;Author&gt;Farashi&lt;/Author&gt;&lt;Year&gt;2018&lt;/Year&gt;&lt;RecNum&gt;64&lt;/RecNum&gt;&lt;DisplayText&gt;&lt;style face="superscript"&gt;[21]&lt;/style&gt;&lt;/DisplayText&gt;&lt;record&gt;&lt;rec-number&gt;64&lt;/rec-number&gt;&lt;foreign-keys&gt;&lt;key app="EN" db-id="5zzpvv0w1t0exjetv0i5ee2dve9a9pvwxvd9" timestamp="1751436181"&gt;64&lt;/key&gt;&lt;/foreign-keys&gt;&lt;ref-type name="Journal Article"&gt;17&lt;/ref-type&gt;&lt;contributors&gt;&lt;authors&gt;&lt;author&gt;Farashi, Samaneh&lt;/author&gt;&lt;author&gt;Harteveld, Cornelis L&lt;/author&gt;&lt;/authors&gt;&lt;/contributors&gt;&lt;titles&gt;&lt;title&gt;Molecular basis of α-thalassemia&lt;/title&gt;&lt;secondary-title&gt;Blood Cells, Molecules, and Diseases&lt;/secondary-title&gt;&lt;/titles&gt;&lt;periodical&gt;&lt;full-title&gt;Blood Cells, Molecules, and Diseases&lt;/full-title&gt;&lt;/periodical&gt;&lt;pages&gt;43-53&lt;/pages&gt;&lt;volume&gt;70&lt;/volume&gt;&lt;dates&gt;&lt;year&gt;2018&lt;/year&gt;&lt;/dates&gt;&lt;isbn&gt;1079-9796&lt;/isbn&gt;&lt;urls&gt;&lt;/urls&gt;&lt;/record&gt;&lt;/Cite&gt;&lt;/EndNote&gt;</w:instrText>
      </w:r>
      <w:r w:rsidR="00E16E76"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[21]</w:t>
      </w:r>
      <w:r w:rsidR="00E16E76" w:rsidRPr="000F1953">
        <w:rPr>
          <w:rFonts w:asciiTheme="majorBidi" w:hAnsiTheme="majorBidi" w:cstheme="majorBidi"/>
          <w:sz w:val="24"/>
          <w:szCs w:val="24"/>
          <w:lang w:bidi="fa-IR"/>
        </w:rPr>
        <w:fldChar w:fldCharType="end"/>
      </w:r>
      <w:r w:rsidR="00E16E76" w:rsidRPr="000F1953">
        <w:rPr>
          <w:rFonts w:asciiTheme="majorBidi" w:hAnsiTheme="majorBidi" w:cstheme="majorBidi"/>
          <w:sz w:val="24"/>
          <w:szCs w:val="24"/>
          <w:lang w:bidi="fa-IR"/>
        </w:rPr>
        <w:t>.</w:t>
      </w:r>
    </w:p>
    <w:p w14:paraId="62248AAE" w14:textId="792D43D9" w:rsidR="00B97E3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B97E3A" w:rsidRPr="000F1953">
        <w:rPr>
          <w:rFonts w:asciiTheme="majorBidi" w:hAnsiTheme="majorBidi" w:cstheme="majorBidi"/>
          <w:sz w:val="24"/>
          <w:szCs w:val="24"/>
          <w:lang w:bidi="fa-IR"/>
        </w:rPr>
        <w:t xml:space="preserve">Notably, the </w:t>
      </w:r>
      <w:r w:rsidR="003C6C6D" w:rsidRPr="000F1953">
        <w:rPr>
          <w:rFonts w:asciiTheme="majorBidi" w:hAnsiTheme="majorBidi" w:cstheme="majorBidi"/>
          <w:sz w:val="24"/>
          <w:szCs w:val="24"/>
        </w:rPr>
        <w:t>--</w:t>
      </w:r>
      <w:r w:rsidR="003C6C6D" w:rsidRPr="000F1953">
        <w:rPr>
          <w:rFonts w:asciiTheme="majorBidi" w:hAnsiTheme="majorBidi" w:cstheme="majorBidi"/>
          <w:sz w:val="24"/>
          <w:szCs w:val="24"/>
          <w:vertAlign w:val="superscript"/>
        </w:rPr>
        <w:t>Med</w:t>
      </w:r>
      <w:r w:rsidR="003C6C6D" w:rsidRPr="000F1953">
        <w:rPr>
          <w:rFonts w:asciiTheme="majorBidi" w:hAnsiTheme="majorBidi" w:cstheme="majorBidi"/>
          <w:sz w:val="24"/>
          <w:szCs w:val="24"/>
        </w:rPr>
        <w:t xml:space="preserve"> /-α</w:t>
      </w:r>
      <w:r w:rsidR="003C6C6D" w:rsidRPr="000F1953">
        <w:rPr>
          <w:rFonts w:asciiTheme="majorBidi" w:hAnsiTheme="majorBidi" w:cstheme="majorBidi"/>
          <w:sz w:val="24"/>
          <w:szCs w:val="24"/>
          <w:vertAlign w:val="superscript"/>
        </w:rPr>
        <w:t>3.7</w:t>
      </w:r>
      <w:r w:rsidR="00B97E3A" w:rsidRPr="000F1953">
        <w:rPr>
          <w:rFonts w:asciiTheme="majorBidi" w:hAnsiTheme="majorBidi" w:cstheme="majorBidi"/>
          <w:sz w:val="24"/>
          <w:szCs w:val="24"/>
          <w:lang w:bidi="fa-IR"/>
        </w:rPr>
        <w:t xml:space="preserve">genotype, </w:t>
      </w:r>
      <w:r w:rsidR="002439BC" w:rsidRPr="000F1953">
        <w:rPr>
          <w:rFonts w:asciiTheme="majorBidi" w:hAnsiTheme="majorBidi" w:cstheme="majorBidi"/>
          <w:sz w:val="24"/>
          <w:szCs w:val="24"/>
          <w:lang w:bidi="fa-IR"/>
        </w:rPr>
        <w:t>which has previously been associated with milder clinical phenotypes in Mediterranean populations</w:t>
      </w:r>
      <w:r w:rsidR="00B97E3A" w:rsidRPr="000F1953">
        <w:rPr>
          <w:rFonts w:asciiTheme="majorBidi" w:hAnsiTheme="majorBidi" w:cstheme="majorBidi"/>
          <w:sz w:val="24"/>
          <w:szCs w:val="24"/>
          <w:lang w:bidi="fa-IR"/>
        </w:rPr>
        <w:t xml:space="preserve"> </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&lt;EndNote&gt;&lt;Cite&gt;&lt;Author&gt;Taher&lt;/Author&gt;&lt;Year&gt;2018&lt;/Year&gt;&lt;RecNum&gt;21&lt;/RecNum&gt;&lt;DisplayText&gt;&lt;style face="superscript"&gt;[20]&lt;/style&gt;&lt;/DisplayText&gt;&lt;record&gt;&lt;rec-number&gt;21&lt;/rec-number&gt;&lt;foreign-keys&gt;&lt;key app="EN" db-id="fadwdfwwssttvyed0pcvzx9garwzd0eztp5w" timestamp="1749487007"&gt;21&lt;/key&gt;&lt;/foreign-keys&gt;&lt;ref-type name="Journal Article"&gt;17&lt;/ref-type&gt;&lt;contributors&gt;&lt;authors&gt;&lt;author&gt;Taher, Ali T&lt;/author&gt;&lt;author&gt;Weatherall, David J&lt;/author&gt;&lt;author&gt;Cappellini, Maria Domenica %J The Lancet&lt;/author&gt;&lt;/authors&gt;&lt;/contributors&gt;&lt;titles&gt;&lt;title&gt;Thalassaemia&lt;/title&gt;&lt;/titles&gt;&lt;pages&gt;155-167&lt;/pages&gt;&lt;volume&gt;391&lt;/volume&gt;&lt;number&gt;10116&lt;/number&gt;&lt;dates&gt;&lt;year&gt;2018&lt;/year&gt;&lt;/dates&gt;&lt;isbn&gt;0140-6736&lt;/isbn&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[20]</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 xml:space="preserve">, </w:t>
      </w:r>
      <w:r w:rsidR="002439BC" w:rsidRPr="000F1953">
        <w:rPr>
          <w:rFonts w:asciiTheme="majorBidi" w:hAnsiTheme="majorBidi" w:cstheme="majorBidi"/>
          <w:sz w:val="24"/>
          <w:szCs w:val="24"/>
          <w:lang w:bidi="fa-IR"/>
        </w:rPr>
        <w:t>was most frequently observed among non-transfusion-dependent patients in our study. This finding aligns with prior reports from Iranian cohorts</w:t>
      </w:r>
      <w:r w:rsidR="00B97E3A" w:rsidRPr="000F1953">
        <w:rPr>
          <w:rFonts w:asciiTheme="majorBidi" w:hAnsiTheme="majorBidi" w:cstheme="majorBidi"/>
          <w:sz w:val="24"/>
          <w:szCs w:val="24"/>
          <w:lang w:bidi="fa-IR"/>
        </w:rPr>
        <w:t xml:space="preserve"> </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&lt;EndNote&gt;&lt;Cite&gt;&lt;Author&gt;Abolghasemi&lt;/Author&gt;&lt;Year&gt;2022&lt;/Year&gt;&lt;RecNum&gt;14&lt;/RecNum&gt;&lt;DisplayText&gt;&lt;style face="superscript"&gt;[14]&lt;/style&gt;&lt;/DisplayText&gt;&lt;record&gt;&lt;rec-number&gt;14&lt;/rec-number&gt;&lt;foreign-keys&gt;&lt;key app="EN" db-id="vwpp5pa0laz0wtewve755txcsrrxa2vxvxp9" timestamp="1755336870"&gt;14&lt;/key&gt;&lt;/foreign-keys&gt;&lt;ref-type name="Journal Article"&gt;17&lt;/ref-type&gt;&lt;contributors&gt;&lt;authors&gt;&lt;author&gt;Abolghasemi, Hassan&lt;/author&gt;&lt;author&gt;Kamfar, Sharareh&lt;/author&gt;&lt;author&gt;Azarkeivan, Azita&lt;/author&gt;&lt;author&gt;Karimi, Mehran&lt;/author&gt;&lt;author&gt;Keikhaei, Bijan&lt;/author&gt;&lt;author&gt;Abolghasemi, Fahimeh&lt;/author&gt;&lt;author&gt;Radfar, Mohammad H&lt;/author&gt;&lt;author&gt;Eshghi, Peyman&lt;/author&gt;&lt;author&gt;Alavi, Samin&lt;/author&gt;&lt;/authors&gt;&lt;/contributors&gt;&lt;titles&gt;&lt;title&gt;Clinical and genetic characteristics of hemoglobin H disease in Iran&lt;/title&gt;&lt;secondary-title&gt;Pediatr Hematol Oncol&lt;/secondary-title&gt;&lt;/titles&gt;&lt;periodical&gt;&lt;full-title&gt;Pediatr Hematol Oncol&lt;/full-title&gt;&lt;/periodical&gt;&lt;pages&gt;489-499&lt;/pages&gt;&lt;volume&gt;39&lt;/volume&gt;&lt;number&gt;6&lt;/number&gt;&lt;dates&gt;&lt;year&gt;2022&lt;/year&gt;&lt;/dates&gt;&lt;isbn&gt;0888-0018&lt;/isbn&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[14]</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 xml:space="preserve">. </w:t>
      </w:r>
      <w:r w:rsidR="002439BC" w:rsidRPr="000F1953">
        <w:rPr>
          <w:rFonts w:asciiTheme="majorBidi" w:hAnsiTheme="majorBidi" w:cstheme="majorBidi"/>
          <w:sz w:val="24"/>
          <w:szCs w:val="24"/>
          <w:lang w:bidi="fa-IR"/>
        </w:rPr>
        <w:t>However, the occurrence of this genotype in a subset of transfusion-dependent individuals challenges the assumption of its uniformly benign behavior and suggests the potential influence of additional modifying factors — genetic, epigenetic, or environmental — on phenotypic expression.</w:t>
      </w:r>
    </w:p>
    <w:p w14:paraId="1E7F3BAE" w14:textId="68AE8CE9" w:rsidR="00B97E3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B97E3A" w:rsidRPr="000F1953">
        <w:rPr>
          <w:rFonts w:asciiTheme="majorBidi" w:hAnsiTheme="majorBidi" w:cstheme="majorBidi"/>
          <w:sz w:val="24"/>
          <w:szCs w:val="24"/>
          <w:lang w:bidi="fa-IR"/>
        </w:rPr>
        <w:t xml:space="preserve">The </w:t>
      </w:r>
      <w:r w:rsidR="003C6C6D" w:rsidRPr="000F1953">
        <w:rPr>
          <w:rFonts w:asciiTheme="majorBidi" w:hAnsiTheme="majorBidi" w:cstheme="majorBidi"/>
          <w:sz w:val="24"/>
          <w:szCs w:val="24"/>
        </w:rPr>
        <w:t>α</w:t>
      </w:r>
      <w:r w:rsidR="003C6C6D" w:rsidRPr="000F1953">
        <w:rPr>
          <w:rFonts w:asciiTheme="majorBidi" w:hAnsiTheme="majorBidi" w:cstheme="majorBidi"/>
          <w:sz w:val="24"/>
          <w:szCs w:val="24"/>
          <w:vertAlign w:val="superscript"/>
        </w:rPr>
        <w:t>polyA1</w:t>
      </w:r>
      <w:r w:rsidR="003C6C6D" w:rsidRPr="000F1953">
        <w:rPr>
          <w:rFonts w:asciiTheme="majorBidi" w:hAnsiTheme="majorBidi" w:cstheme="majorBidi"/>
          <w:sz w:val="24"/>
          <w:szCs w:val="24"/>
        </w:rPr>
        <w:t>α/ α</w:t>
      </w:r>
      <w:r w:rsidR="003C6C6D" w:rsidRPr="000F1953">
        <w:rPr>
          <w:rFonts w:asciiTheme="majorBidi" w:hAnsiTheme="majorBidi" w:cstheme="majorBidi"/>
          <w:sz w:val="24"/>
          <w:szCs w:val="24"/>
          <w:vertAlign w:val="superscript"/>
        </w:rPr>
        <w:t>polyA1</w:t>
      </w:r>
      <w:r w:rsidR="003C6C6D" w:rsidRPr="000F1953">
        <w:rPr>
          <w:rFonts w:asciiTheme="majorBidi" w:hAnsiTheme="majorBidi" w:cstheme="majorBidi"/>
          <w:sz w:val="24"/>
          <w:szCs w:val="24"/>
        </w:rPr>
        <w:t>α</w:t>
      </w:r>
      <w:r w:rsidR="003C6C6D" w:rsidRPr="000F1953">
        <w:rPr>
          <w:rFonts w:asciiTheme="majorBidi" w:hAnsiTheme="majorBidi" w:cstheme="majorBidi"/>
          <w:sz w:val="24"/>
          <w:szCs w:val="24"/>
          <w:lang w:bidi="fa-IR"/>
        </w:rPr>
        <w:t xml:space="preserve"> </w:t>
      </w:r>
      <w:r w:rsidR="009B5CF1" w:rsidRPr="000F1953">
        <w:rPr>
          <w:rFonts w:asciiTheme="majorBidi" w:hAnsiTheme="majorBidi" w:cstheme="majorBidi"/>
          <w:sz w:val="24"/>
          <w:szCs w:val="24"/>
          <w:lang w:bidi="fa-IR"/>
        </w:rPr>
        <w:t>genotype</w:t>
      </w:r>
      <w:r w:rsidR="00B97E3A" w:rsidRPr="000F1953">
        <w:rPr>
          <w:rFonts w:asciiTheme="majorBidi" w:hAnsiTheme="majorBidi" w:cstheme="majorBidi"/>
          <w:sz w:val="24"/>
          <w:szCs w:val="24"/>
          <w:lang w:bidi="fa-IR"/>
        </w:rPr>
        <w:t xml:space="preserve">, </w:t>
      </w:r>
      <w:r w:rsidR="00816B4E" w:rsidRPr="000F1953">
        <w:rPr>
          <w:rFonts w:asciiTheme="majorBidi" w:hAnsiTheme="majorBidi" w:cstheme="majorBidi"/>
          <w:sz w:val="24"/>
          <w:szCs w:val="24"/>
          <w:lang w:bidi="fa-IR"/>
        </w:rPr>
        <w:t>despite being a non-deletional and structurally destabilizing mutation, was observed across all transfusion-requirement subgroups in our cross-sectional study, including patients with minimal transfusion needs. These finding challenges prior assumptions about its uniformly severe clinical impact and suggests phenotypic variability, potentially modulated by genetic or environmental modifiers. Previous reports have documented its association with clinical severity</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&lt;EndNote&gt;&lt;Cite&gt;&lt;Author&gt;Abolghasemi&lt;/Author&gt;&lt;Year&gt;2022&lt;/Year&gt;&lt;RecNum&gt;14&lt;/RecNum&gt;&lt;DisplayText&gt;&lt;style face="superscript"&gt;[14]&lt;/style&gt;&lt;/DisplayText&gt;&lt;record&gt;&lt;rec-number&gt;14&lt;/rec-number&gt;&lt;foreign-keys&gt;&lt;key app="EN" db-id="vwpp5pa0laz0wtewve755txcsrrxa2vxvxp9" timestamp="1755336870"&gt;14&lt;/key&gt;&lt;/foreign-keys&gt;&lt;ref-type name="Journal Article"&gt;17&lt;/ref-type&gt;&lt;contributors&gt;&lt;authors&gt;&lt;author&gt;Abolghasemi, Hassan&lt;/author&gt;&lt;author&gt;Kamfar, Sharareh&lt;/author&gt;&lt;author&gt;Azarkeivan, Azita&lt;/author&gt;&lt;author&gt;Karimi, Mehran&lt;/author&gt;&lt;author&gt;Keikhaei, Bijan&lt;/author&gt;&lt;author&gt;Abolghasemi, Fahimeh&lt;/author&gt;&lt;author&gt;Radfar, Mohammad H&lt;/author&gt;&lt;author&gt;Eshghi, Peyman&lt;/author&gt;&lt;author&gt;Alavi, Samin&lt;/author&gt;&lt;/authors&gt;&lt;/contributors&gt;&lt;titles&gt;&lt;title&gt;Clinical and genetic characteristics of hemoglobin H disease in Iran&lt;/title&gt;&lt;secondary-title&gt;Pediatr Hematol Oncol&lt;/secondary-title&gt;&lt;/titles&gt;&lt;periodical&gt;&lt;full-title&gt;Pediatr Hematol Oncol&lt;/full-title&gt;&lt;/periodical&gt;&lt;pages&gt;489-499&lt;/pages&gt;&lt;volume&gt;39&lt;/volume&gt;&lt;number&gt;6&lt;/number&gt;&lt;dates&gt;&lt;year&gt;2022&lt;/year&gt;&lt;/dates&gt;&lt;isbn&gt;0888-0018&lt;/isbn&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[14]</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w:t>
      </w:r>
    </w:p>
    <w:p w14:paraId="36524E29" w14:textId="39CE326E" w:rsidR="00B97E3A" w:rsidRPr="000F1953" w:rsidRDefault="00CC1487" w:rsidP="00C2358C">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816B4E" w:rsidRPr="000F1953">
        <w:rPr>
          <w:rFonts w:asciiTheme="majorBidi" w:hAnsiTheme="majorBidi" w:cstheme="majorBidi"/>
          <w:sz w:val="24"/>
          <w:szCs w:val="24"/>
          <w:lang w:bidi="fa-IR"/>
        </w:rPr>
        <w:t xml:space="preserve">Taken together, these findings raise important concerns about the adequacy of genotypic data alone in predicting clinical severity in Hb H disease. The phenotypic variability observed — particularly in well-characterized mutations such as </w:t>
      </w:r>
      <w:r w:rsidR="003C6C6D" w:rsidRPr="000F1953">
        <w:rPr>
          <w:rFonts w:asciiTheme="majorBidi" w:hAnsiTheme="majorBidi" w:cstheme="majorBidi"/>
          <w:sz w:val="24"/>
          <w:szCs w:val="24"/>
        </w:rPr>
        <w:t>α</w:t>
      </w:r>
      <w:r w:rsidR="003C6C6D" w:rsidRPr="000F1953">
        <w:rPr>
          <w:rFonts w:asciiTheme="majorBidi" w:hAnsiTheme="majorBidi" w:cstheme="majorBidi"/>
          <w:sz w:val="24"/>
          <w:szCs w:val="24"/>
          <w:vertAlign w:val="superscript"/>
        </w:rPr>
        <w:t>polyA1</w:t>
      </w:r>
      <w:r w:rsidR="003C6C6D" w:rsidRPr="000F1953">
        <w:rPr>
          <w:rFonts w:asciiTheme="majorBidi" w:hAnsiTheme="majorBidi" w:cstheme="majorBidi"/>
          <w:sz w:val="24"/>
          <w:szCs w:val="24"/>
        </w:rPr>
        <w:t>α</w:t>
      </w:r>
      <w:r w:rsidR="00816B4E" w:rsidRPr="000F1953">
        <w:rPr>
          <w:rFonts w:asciiTheme="majorBidi" w:hAnsiTheme="majorBidi" w:cstheme="majorBidi"/>
          <w:sz w:val="24"/>
          <w:szCs w:val="24"/>
          <w:lang w:bidi="fa-IR"/>
        </w:rPr>
        <w:t>— suggests that risk stratification should incorporate not only molecular profiles but also individual patient characteristics and potential modifying factors.</w:t>
      </w:r>
    </w:p>
    <w:p w14:paraId="2B18C709" w14:textId="4816F27B" w:rsidR="00B97E3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816B4E" w:rsidRPr="000F1953">
        <w:rPr>
          <w:rFonts w:asciiTheme="majorBidi" w:hAnsiTheme="majorBidi" w:cstheme="majorBidi"/>
          <w:sz w:val="24"/>
          <w:szCs w:val="24"/>
          <w:lang w:bidi="fa-IR"/>
        </w:rPr>
        <w:t xml:space="preserve">Given the heterogeneity in clinical outcomes across genotypic subgroups, attention was subsequently directed toward metabolic contributors such as iron dysregulation and oxidative imbalance. The findings reveal a strong interplay between α-globin genotype, iron metabolism, and oxidative stress in Hb H disease. Serum ferritin levels were markedly elevated in ND/D patients compared to those with the D/D genotype, consistent with increased transfusion demand and enhanced ineffective erythropoiesis, which likely promotes heightened intestinal iron absorption </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&lt;EndNote&gt;&lt;Cite&gt;&lt;Author&gt;Chiou&lt;/Author&gt;&lt;Year&gt;2014&lt;/Year&gt;&lt;RecNum&gt;3&lt;/RecNum&gt;&lt;DisplayText&gt;&lt;style face="superscript"&gt;[3]&lt;/style&gt;&lt;/DisplayText&gt;&lt;record&gt;&lt;rec-number&gt;3&lt;/rec-number&gt;&lt;foreign-keys&gt;&lt;key app="EN" db-id="vwpp5pa0laz0wtewve755txcsrrxa2vxvxp9" timestamp="1755336866"&gt;3&lt;/key&gt;&lt;/foreign-keys&gt;&lt;ref-type name="Journal Article"&gt;17&lt;/ref-type&gt;&lt;contributors&gt;&lt;authors&gt;&lt;author&gt;Chiou, Shyh</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Shin&lt;/author&gt;&lt;author&gt;Tsao, Chao</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Jung&lt;/author&gt;&lt;author&gt;Tsai, Shih</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Meng&lt;/author&gt;&lt;author&gt;Wu, Ye</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Ru&lt;/author&gt;&lt;author&gt;Liao, Yu</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Mei&lt;/author&gt;&lt;author&gt;Lin, Pei</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Chin&lt;/author&gt;&lt;author&gt;Tsai, Li</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Yu %J Journal of Clinical Laboratory Analysis&lt;/author&gt;&lt;/authors&gt;&lt;/contributors&gt;&lt;titles&gt;&lt;title&gt;Metabolic pathways related to oxidative stress in patients with hemoglobin H disease and iron overload&lt;/title&gt;&lt;secondary-title&gt;J Clin Lab Anal&lt;/secondary-title&gt;&lt;/titles&gt;&lt;periodical&gt;&lt;full-title&gt;J Clin Lab Anal&lt;/full-title&gt;&lt;/periodical&gt;&lt;pages&gt;261-268&lt;/pages&gt;&lt;volume&gt;28&lt;/volume&gt;&lt;number&gt;4&lt;/number&gt;&lt;dates&gt;&lt;year&gt;2014&lt;/year&gt;&lt;/dates&gt;&lt;isbn&gt;0887-8013&lt;/isbn&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[3]</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w:t>
      </w:r>
    </w:p>
    <w:p w14:paraId="67C3DE65" w14:textId="305788FA" w:rsidR="00B97E3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BE700B" w:rsidRPr="000F1953">
        <w:rPr>
          <w:rFonts w:asciiTheme="majorBidi" w:hAnsiTheme="majorBidi" w:cstheme="majorBidi"/>
          <w:sz w:val="24"/>
          <w:szCs w:val="24"/>
          <w:lang w:bidi="fa-IR"/>
        </w:rPr>
        <w:t>Oxidative stress, assessed via MDA levels, exhibited a genotype-dependent gradient: highest in ND/D patients, intermediate in ND/ND, and lowest in those with the D/D genotype. This pattern reflects the underlying molecular instability of non-deletional α-globin variants, which are prone to precipitation and membrane damage</w:t>
      </w:r>
      <w:r w:rsidR="00B97E3A" w:rsidRPr="000F1953">
        <w:rPr>
          <w:rFonts w:asciiTheme="majorBidi" w:hAnsiTheme="majorBidi" w:cstheme="majorBidi"/>
          <w:sz w:val="24"/>
          <w:szCs w:val="24"/>
          <w:lang w:bidi="fa-IR"/>
        </w:rPr>
        <w:t xml:space="preserve"> </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&lt;EndNote&gt;&lt;Cite&gt;&lt;Author&gt;Yao&lt;/Author&gt;&lt;Year&gt;2019&lt;/Year&gt;&lt;RecNum&gt;6&lt;/RecNum&gt;&lt;DisplayText&gt;&lt;style face="superscript"&gt;[6, 22]&lt;/style&gt;&lt;/DisplayText&gt;&lt;record&gt;&lt;rec-number&gt;6&lt;/rec-number&gt;&lt;foreign-keys&gt;&lt;key app="EN" db-id="vwpp5pa0laz0wtewve755txcsrrxa2vxvxp9" timestamp="1755336868"&gt;6&lt;/key&gt;&lt;/foreign-keys&gt;&lt;ref-type name="Journal Article"&gt;17&lt;/ref-type&gt;&lt;contributors&gt;&lt;authors&gt;&lt;author&gt;Yao, Xi&lt;/author&gt;&lt;author&gt;Xu, Lu-Hong&lt;/author&gt;&lt;author&gt;Xu, Hong-Gui&lt;/author&gt;&lt;author&gt;Li, Xin-Yu&lt;/author&gt;&lt;author&gt;Liu, Yong&lt;/author&gt;&lt;author&gt;Fang, Jian-Pei %J Hemoglobin&lt;/author&gt;&lt;/authors&gt;&lt;/contributors&gt;&lt;titles&gt;&lt;title&gt;Iron metabolism and oxidative status in patients with Hb H disease&lt;/title&gt;&lt;secondary-title&gt;Hemoglobin&lt;/secondary-title&gt;&lt;/titles&gt;&lt;periodical&gt;&lt;full-title&gt;Hemoglobin&lt;/full-title&gt;&lt;/periodical&gt;&lt;pages&gt;38-41&lt;/pages&gt;&lt;volume&gt;43&lt;/volume&gt;&lt;number&gt;1&lt;/number&gt;&lt;dates&gt;&lt;year&gt;2019&lt;/year&gt;&lt;/dates&gt;&lt;isbn&gt;0363-0269&lt;/isbn&gt;&lt;urls&gt;&lt;/urls&gt;&lt;/record&gt;&lt;/Cite&gt;&lt;Cite&gt;&lt;Author&gt;Origa&lt;/Author&gt;&lt;Year&gt;2015&lt;/Year&gt;&lt;RecNum&gt;20&lt;/RecNum&gt;&lt;record&gt;&lt;rec-number&gt;20&lt;/rec-number&gt;&lt;foreign-keys&gt;&lt;key app="EN" db-id="vwpp5pa0laz0wtewve755txcsrrxa2vxvxp9" timestamp="1755336875"&gt;20&lt;/key&gt;&lt;/foreign-keys&gt;&lt;ref-type name="Journal Article"&gt;17&lt;/ref-type&gt;&lt;contributors&gt;&lt;authors&gt;&lt;author&gt;Origa, Raffaella&lt;/author&gt;&lt;author&gt;Cazzola, Mario&lt;/author&gt;&lt;author&gt;Mereu, Elisabetta&lt;/author&gt;&lt;author&gt;Danjou, Fabrice&lt;/author&gt;&lt;author&gt;Barella, Susanna&lt;/author&gt;&lt;author&gt;Giagu, Nicolina&lt;/author&gt;&lt;author&gt;Galanello, Renzo&lt;/author&gt;&lt;author&gt;Swinkels, Dorine W %J Haematologica&lt;/author&gt;&lt;/authors&gt;&lt;/contributors&gt;&lt;titles&gt;&lt;title&gt;Differences in the erythropoiesis-hepcidin-iron store axis between hemoglobin H disease and β-thalassemia intermedia&lt;/title&gt;&lt;secondary-title&gt;Haematologica&lt;/secondary-title&gt;&lt;/titles&gt;&lt;periodical&gt;&lt;full-title&gt;Haematologica&lt;/full-title&gt;&lt;/periodical&gt;&lt;pages&gt;e169&lt;/pages&gt;&lt;volume&gt;100&lt;/volume&gt;&lt;number&gt;5&lt;/number&gt;&lt;dates&gt;&lt;year&gt;2015&lt;/year&gt;&lt;/dates&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[6, 22]</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 xml:space="preserve">. </w:t>
      </w:r>
      <w:r w:rsidR="00BE700B" w:rsidRPr="000F1953">
        <w:rPr>
          <w:rFonts w:asciiTheme="majorBidi" w:hAnsiTheme="majorBidi" w:cstheme="majorBidi"/>
          <w:sz w:val="24"/>
          <w:szCs w:val="24"/>
          <w:lang w:bidi="fa-IR"/>
        </w:rPr>
        <w:t xml:space="preserve">The combination of deletional and non-deletional mutations in ND/D individuals may create a synergistically detrimental oxidative environment. The parallel increases in oxidative stress markers (MDA) and iron overload (ferritin) support the concept of a converging pathophysiological axis. This link between genotype, iron dysregulation, and oxidative imbalance may contribute to the clinical heterogeneity observed in Hb H disease and could represent a future target for personalized therapeutic strategies </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&lt;EndNote&gt;&lt;Cite&gt;&lt;Author&gt;Walter&lt;/Author&gt;&lt;Year&gt;2006&lt;/Year&gt;&lt;RecNum&gt;5&lt;/RecNum&gt;&lt;DisplayText&gt;&lt;style face="superscript"&gt;[5]&lt;/style&gt;&lt;/DisplayText&gt;&lt;record&gt;&lt;rec-number&gt;5&lt;/rec-number&gt;&lt;foreign-keys&gt;&lt;key app="EN" db-id="vwpp5pa0laz0wtewve755txcsrrxa2vxvxp9" timestamp="1755336868"&gt;5&lt;/key&gt;&lt;/foreign-keys&gt;&lt;ref-type name="Journal Article"&gt;17&lt;/ref-type&gt;&lt;contributors&gt;&lt;authors&gt;&lt;author&gt;Walter, Patrick B&lt;/author&gt;&lt;author&gt;Fung, Ellen B&lt;/author&gt;&lt;author&gt;Killilea, David W&lt;/author&gt;&lt;author&gt;Jiang, Qing&lt;/author&gt;&lt;author&gt;Hudes, Mark&lt;/author&gt;&lt;author&gt;Madden, Jacqueline&lt;/author&gt;&lt;author&gt;Porter, John&lt;/author&gt;&lt;author&gt;Evans, Patricia&lt;/author&gt;&lt;author&gt;Vichinsky, Elliott&lt;/author&gt;&lt;author&gt;Harmatz, Paul %J British journal of haematology&lt;/author&gt;&lt;/authors&gt;&lt;/contributors&gt;&lt;titles&gt;&lt;title&gt;Oxidative stress and inflammation in iron</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 xml:space="preserve">overloaded patients with </w:instrText>
      </w:r>
      <w:r w:rsidR="0009557E">
        <w:rPr>
          <w:rFonts w:ascii="Times New Roman" w:hAnsi="Times New Roman" w:cs="Times New Roman"/>
          <w:sz w:val="24"/>
          <w:szCs w:val="24"/>
          <w:lang w:bidi="fa-IR"/>
        </w:rPr>
        <w:instrText>β</w:instrText>
      </w:r>
      <w:r w:rsidR="0009557E">
        <w:rPr>
          <w:rFonts w:ascii="Cambria Math" w:hAnsi="Cambria Math" w:cs="Cambria Math"/>
          <w:sz w:val="24"/>
          <w:szCs w:val="24"/>
          <w:lang w:bidi="fa-IR"/>
        </w:rPr>
        <w:instrText>‐</w:instrText>
      </w:r>
      <w:r w:rsidR="0009557E">
        <w:rPr>
          <w:rFonts w:asciiTheme="majorBidi" w:hAnsiTheme="majorBidi" w:cstheme="majorBidi"/>
          <w:sz w:val="24"/>
          <w:szCs w:val="24"/>
          <w:lang w:bidi="fa-IR"/>
        </w:rPr>
        <w:instrText>thalassaemia or sickle cell disease&lt;/title&gt;&lt;secondary-title&gt;Br J Haematol&lt;/secondary-title&gt;&lt;/titles&gt;&lt;periodical&gt;&lt;full-title&gt;Br J Haematol&lt;/full-title&gt;&lt;/periodical&gt;&lt;pages&gt;254-263&lt;/pages&gt;&lt;volume&gt;135&lt;/volume&gt;&lt;number&gt;2&lt;/number&gt;&lt;dates&gt;&lt;year&gt;2006&lt;/year&gt;&lt;/dates&gt;&lt;isbn&gt;0007-1048&lt;/isbn&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[5]</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w:t>
      </w:r>
    </w:p>
    <w:p w14:paraId="0D576F99" w14:textId="6C7A3D9A" w:rsidR="00BC2D4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BE700B" w:rsidRPr="000F1953">
        <w:rPr>
          <w:rFonts w:asciiTheme="majorBidi" w:hAnsiTheme="majorBidi" w:cstheme="majorBidi"/>
          <w:sz w:val="24"/>
          <w:szCs w:val="24"/>
          <w:lang w:bidi="fa-IR"/>
        </w:rPr>
        <w:t>GDF-15 has emerged as a promising biomarker of disease burden in patients with Hb H disease</w:t>
      </w:r>
      <w:r w:rsidR="00B97E3A" w:rsidRPr="000F1953">
        <w:rPr>
          <w:rFonts w:asciiTheme="majorBidi" w:hAnsiTheme="majorBidi" w:cstheme="majorBidi"/>
          <w:sz w:val="24"/>
          <w:szCs w:val="24"/>
          <w:lang w:bidi="fa-IR"/>
        </w:rPr>
        <w:t xml:space="preserve"> </w:t>
      </w:r>
      <w:r w:rsidR="00B97E3A" w:rsidRPr="000F1953">
        <w:rPr>
          <w:rFonts w:asciiTheme="majorBidi" w:hAnsiTheme="majorBidi" w:cstheme="majorBidi"/>
          <w:sz w:val="24"/>
          <w:szCs w:val="24"/>
          <w:lang w:bidi="fa-IR"/>
        </w:rPr>
        <w:fldChar w:fldCharType="begin">
          <w:fldData xml:space="preserve">PEVuZE5vdGU+PENpdGU+PEF1dGhvcj5UYW5ubzwvQXV0aG9yPjxZZWFyPjIwMDc8L1llYXI+PFJl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</w:fldData>
        </w:fldChar>
      </w:r>
      <w:r w:rsidR="0009557E">
        <w:rPr>
          <w:rFonts w:asciiTheme="majorBidi" w:hAnsiTheme="majorBidi" w:cstheme="majorBidi"/>
          <w:sz w:val="24"/>
          <w:szCs w:val="24"/>
          <w:lang w:bidi="fa-IR"/>
        </w:rPr>
        <w:instrText xml:space="preserve"> ADDIN EN.CITE </w:instrText>
      </w:r>
      <w:r w:rsidR="0009557E">
        <w:rPr>
          <w:rFonts w:asciiTheme="majorBidi" w:hAnsiTheme="majorBidi" w:cstheme="majorBidi"/>
          <w:sz w:val="24"/>
          <w:szCs w:val="24"/>
          <w:lang w:bidi="fa-IR"/>
        </w:rPr>
        <w:fldChar w:fldCharType="begin">
          <w:fldData xml:space="preserve">PEVuZE5vdGU+PENpdGU+PEF1dGhvcj5UYW5ubzwvQXV0aG9yPjxZZWFyPjIwMDc8L1llYXI+PFJl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</w:fldData>
        </w:fldChar>
      </w:r>
      <w:r w:rsidR="0009557E">
        <w:rPr>
          <w:rFonts w:asciiTheme="majorBidi" w:hAnsiTheme="majorBidi" w:cstheme="majorBidi"/>
          <w:sz w:val="24"/>
          <w:szCs w:val="24"/>
          <w:lang w:bidi="fa-IR"/>
        </w:rPr>
        <w:instrText xml:space="preserve"> ADDIN EN.CITE.DATA </w:instrText>
      </w:r>
      <w:r w:rsidR="0009557E">
        <w:rPr>
          <w:rFonts w:asciiTheme="majorBidi" w:hAnsiTheme="majorBidi" w:cstheme="majorBidi"/>
          <w:sz w:val="24"/>
          <w:szCs w:val="24"/>
          <w:lang w:bidi="fa-IR"/>
        </w:rPr>
      </w:r>
      <w:r w:rsidR="0009557E">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[8, 9]</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 xml:space="preserve">. </w:t>
      </w:r>
      <w:r w:rsidR="00BE700B" w:rsidRPr="000F1953">
        <w:rPr>
          <w:rFonts w:asciiTheme="majorBidi" w:hAnsiTheme="majorBidi" w:cstheme="majorBidi"/>
          <w:sz w:val="24"/>
          <w:szCs w:val="24"/>
          <w:lang w:bidi="fa-IR"/>
        </w:rPr>
        <w:t xml:space="preserve">Its levels showed a stepwise elevation across transfusion requirement groups, from non-transfusion-dependent to transfusion-dependent patients, mirroring the clinical progression of disease severity. A similar trend was observed in genotypic comparisons, with ND/D patients exhibiting the highest GDF-15 levels, consistent with greater clinical and hematologic impairment. Beyond its role as a severity marker, GDF-15 may actively contribute to the dysregulation of iron homeostasis. In a seminal study, Tanno et al. </w:t>
      </w:r>
      <w:r w:rsidR="00491E1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&lt;EndNote&gt;&lt;Cite&gt;&lt;Author&gt;Tanno&lt;/Author&gt;&lt;Year&gt;2007&lt;/Year&gt;&lt;RecNum&gt;87&lt;/RecNum&gt;&lt;DisplayText&gt;&lt;style face="superscript"&gt;[23]&lt;/style&gt;&lt;/DisplayText&gt;&lt;record&gt;&lt;rec-number&gt;87&lt;/rec-number&gt;&lt;foreign-keys&gt;&lt;key app="EN" db-id="5zzpvv0w1t0exjetv0i5ee2dve9a9pvwxvd9" timestamp="1751699478"&gt;87&lt;/key&gt;&lt;/foreign-keys&gt;&lt;ref-type name="Journal Article"&gt;17&lt;/ref-type&gt;&lt;contributors&gt;&lt;authors&gt;&lt;author&gt;Tanno, Toshihiko&lt;/author&gt;&lt;author&gt;Bhanu, Natarajan V&lt;/author&gt;&lt;author&gt;Oneal, Patricia A&lt;/author&gt;&lt;author&gt;Goh, Sung-Ho&lt;/author&gt;&lt;author&gt;Staker, Pamela&lt;/author&gt;&lt;author&gt;Lee, Y Terry&lt;/author&gt;&lt;author&gt;Moroney, John W&lt;/author&gt;&lt;author&gt;Reed, Christopher H&lt;/author&gt;&lt;author&gt;Luban, Naomi LC&lt;/author&gt;&lt;author&gt;Wang, Rui-Hong&lt;/author&gt;&lt;/authors&gt;&lt;/contributors&gt;&lt;titles&gt;&lt;title&gt;High levels of GDF15 in thalassemia suppress expression of the iron regulatory protein hepcidin&lt;/title&gt;&lt;secondary-title&gt;Nature medicine&lt;/secondary-title&gt;&lt;/titles&gt;&lt;periodical&gt;&lt;full-title&gt;Nature medicine&lt;/full-title&gt;&lt;/periodical&gt;&lt;pages&gt;1096-1101&lt;/pages&gt;&lt;volume&gt;13&lt;/volume&gt;&lt;number&gt;9&lt;/number&gt;&lt;dates&gt;&lt;year&gt;2007&lt;/year&gt;&lt;/dates&gt;&lt;isbn&gt;1078-8956&lt;/isbn&gt;&lt;urls&gt;&lt;/urls&gt;&lt;/record&gt;&lt;/Cite&gt;&lt;/EndNote&gt;</w:instrText>
      </w:r>
      <w:r w:rsidR="00491E1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[23]</w:t>
      </w:r>
      <w:r w:rsidR="00491E1A" w:rsidRPr="000F1953">
        <w:rPr>
          <w:rFonts w:asciiTheme="majorBidi" w:hAnsiTheme="majorBidi" w:cstheme="majorBidi"/>
          <w:sz w:val="24"/>
          <w:szCs w:val="24"/>
          <w:lang w:bidi="fa-IR"/>
        </w:rPr>
        <w:fldChar w:fldCharType="end"/>
      </w:r>
      <w:r w:rsidR="00491E1A" w:rsidRPr="000F1953">
        <w:rPr>
          <w:rFonts w:asciiTheme="majorBidi" w:hAnsiTheme="majorBidi" w:cstheme="majorBidi"/>
          <w:sz w:val="24"/>
          <w:szCs w:val="24"/>
          <w:rtl/>
          <w:lang w:bidi="fa-IR"/>
        </w:rPr>
        <w:t xml:space="preserve"> </w:t>
      </w:r>
      <w:r w:rsidR="00BE700B" w:rsidRPr="000F1953">
        <w:rPr>
          <w:rFonts w:asciiTheme="majorBidi" w:hAnsiTheme="majorBidi" w:cstheme="majorBidi"/>
          <w:sz w:val="24"/>
          <w:szCs w:val="24"/>
          <w:lang w:bidi="fa-IR"/>
        </w:rPr>
        <w:t>demonstrated that elevated GDF-15 suppresses hepcidin expression, thereby enhancing intestinal iron absorption even in the context of systemic iron overload. Although this mechanism has been primarily established in β-thalassemia, its relevance to Hb H disease remains less well defined. Our findings provide additional support for this model, as evidenced by the observed positive correlation between GDF-15 and serum ferritin in our cross-sectional study. Furthermore, the inverse association with TIBC suggests that increased GDF-15 levels may coincide with reduced transferrin synthesis — a known feature of iron-loading anemias, as previously reported by Musallam et al. These results further position GDF-15 as a potential mechanistic link between ineffective erythropoiesis, iron dysregulation, and disease severity in Hb H disease</w:t>
      </w:r>
      <w:r w:rsidR="00AE758E" w:rsidRPr="000F1953">
        <w:rPr>
          <w:rFonts w:asciiTheme="majorBidi" w:hAnsiTheme="majorBidi" w:cstheme="majorBidi"/>
          <w:sz w:val="24"/>
          <w:szCs w:val="24"/>
          <w:rtl/>
          <w:lang w:bidi="fa-IR"/>
        </w:rPr>
        <w:t xml:space="preserve"> </w:t>
      </w:r>
      <w:r w:rsidR="00B97E3A"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&lt;EndNote&gt;&lt;Cite&gt;&lt;Author&gt;Musallam&lt;/Author&gt;&lt;Year&gt;2011&lt;/Year&gt;&lt;RecNum&gt;9&lt;/RecNum&gt;&lt;DisplayText&gt;&lt;style face="superscript"&gt;[9]&lt;/style&gt;&lt;/DisplayText&gt;&lt;record&gt;&lt;rec-number&gt;9&lt;/rec-number&gt;&lt;foreign-keys&gt;&lt;key app="EN" db-id="vwpp5pa0laz0wtewve755txcsrrxa2vxvxp9" timestamp="1755336869"&gt;9&lt;/key&gt;&lt;/foreign-keys&gt;&lt;ref-type name="Journal Article"&gt;17&lt;/ref-type&gt;&lt;contributors&gt;&lt;authors&gt;&lt;author&gt;Musallam, Khaled M&lt;/author&gt;&lt;author&gt;Taher, Ali T&lt;/author&gt;&lt;author&gt;Duca, Lorena&lt;/author&gt;&lt;author&gt;Cesaretti, Claudia&lt;/author&gt;&lt;author&gt;Halawi, Racha&lt;/author&gt;&lt;author&gt;Cappellini, Maria Domenica %J Blood Cells, Molecules,&lt;/author&gt;&lt;author&gt;Diseases&lt;/author&gt;&lt;/authors&gt;&lt;/contributors&gt;&lt;titles&gt;&lt;title&gt;Levels of growth differentiation factor-15 are high and correlate with clinical severity in transfusion-independent patients with β thalassemia intermedia&lt;/title&gt;&lt;secondary-title&gt;Blood Cells Mol Dis&lt;/secondary-title&gt;&lt;/titles&gt;&lt;periodical&gt;&lt;full-title&gt;Blood Cells Mol Dis&lt;/full-title&gt;&lt;/periodical&gt;&lt;pages&gt;232-234&lt;/pages&gt;&lt;volume&gt;47&lt;/volume&gt;&lt;number&gt;4&lt;/number&gt;&lt;dates&gt;&lt;year&gt;2011&lt;/year&gt;&lt;/dates&gt;&lt;isbn&gt;1079-9796&lt;/isbn&gt;&lt;urls&gt;&lt;/urls&gt;&lt;/record&gt;&lt;/Cite&gt;&lt;/EndNote&gt;</w:instrText>
      </w:r>
      <w:r w:rsidR="00B97E3A"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[9]</w:t>
      </w:r>
      <w:r w:rsidR="00B97E3A" w:rsidRPr="000F1953">
        <w:rPr>
          <w:rFonts w:asciiTheme="majorBidi" w:hAnsiTheme="majorBidi" w:cstheme="majorBidi"/>
          <w:sz w:val="24"/>
          <w:szCs w:val="24"/>
          <w:lang w:bidi="fa-IR"/>
        </w:rPr>
        <w:fldChar w:fldCharType="end"/>
      </w:r>
      <w:r w:rsidR="00B97E3A" w:rsidRPr="000F1953">
        <w:rPr>
          <w:rFonts w:asciiTheme="majorBidi" w:hAnsiTheme="majorBidi" w:cstheme="majorBidi"/>
          <w:sz w:val="24"/>
          <w:szCs w:val="24"/>
          <w:lang w:bidi="fa-IR"/>
        </w:rPr>
        <w:t xml:space="preserve">. </w:t>
      </w:r>
    </w:p>
    <w:p w14:paraId="09B8D69F" w14:textId="1EDB1298" w:rsidR="0003363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03363A" w:rsidRPr="000F1953">
        <w:rPr>
          <w:rFonts w:asciiTheme="majorBidi" w:hAnsiTheme="majorBidi" w:cstheme="majorBidi"/>
          <w:sz w:val="24"/>
          <w:szCs w:val="24"/>
          <w:lang w:bidi="fa-IR"/>
        </w:rPr>
        <w:t>Further stratification based on splenectomy status revealed an additional layer of complexity in the systemic profile of patients with Hb H disease. In our cohort, splenectomized individuals exhibited significantly elevated levels of malondialdehyde (MDA), reticulocyte counts, and C-reactive protein (CRP) compared to non-splenectomized patients. These findings suggest that splenectomy may exacerbate oxidative stress, stimulate erythropoietic activity, and amplify systemic inflammation — potentially due to the loss of splenic clearance of damaged erythrocytes and dysregulated immune activation. Similar observations have been reported in studies of β-thalassemia, where splenectomy was associated with increased circulating oxidized red cells and heightened inflammatory responses</w:t>
      </w:r>
      <w:r w:rsidR="005635E1" w:rsidRPr="000F1953">
        <w:rPr>
          <w:rFonts w:asciiTheme="majorBidi" w:hAnsiTheme="majorBidi" w:cstheme="majorBidi"/>
          <w:sz w:val="24"/>
          <w:szCs w:val="24"/>
          <w:lang w:bidi="fa-IR"/>
        </w:rPr>
        <w:t xml:space="preserve"> </w:t>
      </w:r>
      <w:r w:rsidR="005635E1"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&lt;EndNote&gt;&lt;Cite&gt;&lt;Author&gt;Hirsch&lt;/Author&gt;&lt;Year&gt;2017&lt;/Year&gt;&lt;RecNum&gt;21&lt;/RecNum&gt;&lt;DisplayText&gt;&lt;style face="superscript"&gt;[24]&lt;/style&gt;&lt;/DisplayText&gt;&lt;record&gt;&lt;rec-number&gt;21&lt;/rec-number&gt;&lt;foreign-keys&gt;&lt;key app="EN" db-id="vwpp5pa0laz0wtewve755txcsrrxa2vxvxp9" timestamp="1755336876"&gt;21&lt;/key&gt;&lt;/foreign-keys&gt;&lt;ref-type name="Journal Article"&gt;17&lt;/ref-type&gt;&lt;contributors&gt;&lt;authors&gt;&lt;author&gt;Hirsch, Rhoda Elison&lt;/author&gt;&lt;author&gt;Sibmooh, Nathawut&lt;/author&gt;&lt;author&gt;Fucharoen, Suthat&lt;/author&gt;&lt;author&gt;Friedman, Joel M&lt;/author&gt;&lt;/authors&gt;&lt;/contributors&gt;&lt;titles&gt;&lt;title&gt;HbE/β-thalassemia and oxidative stress: the key to pathophysiological mechanisms and novel therapeutics&lt;/title&gt;&lt;secondary-title&gt;Antioxid Redox Signal&lt;/secondary-title&gt;&lt;/titles&gt;&lt;periodical&gt;&lt;full-title&gt;Antioxid Redox Signal&lt;/full-title&gt;&lt;/periodical&gt;&lt;pages&gt;794-813&lt;/pages&gt;&lt;volume&gt;26&lt;/volume&gt;&lt;number&gt;14&lt;/number&gt;&lt;dates&gt;&lt;year&gt;2017&lt;/year&gt;&lt;/dates&gt;&lt;isbn&gt;1523-0864&lt;/isbn&gt;&lt;urls&gt;&lt;/urls&gt;&lt;/record&gt;&lt;/Cite&gt;&lt;Cite&gt;&lt;Author&gt;Hirsch&lt;/Author&gt;&lt;Year&gt;2017&lt;/Year&gt;&lt;RecNum&gt;21&lt;/RecNum&gt;&lt;record&gt;&lt;rec-number&gt;21&lt;/rec-number&gt;&lt;foreign-keys&gt;&lt;key app="EN" db-id="vwpp5pa0laz0wtewve755txcsrrxa2vxvxp9" timestamp="1755336876"&gt;21&lt;/key&gt;&lt;/foreign-keys&gt;&lt;ref-type name="Journal Article"&gt;17&lt;/ref-type&gt;&lt;contributors&gt;&lt;authors&gt;&lt;author&gt;Hirsch, Rhoda Elison&lt;/author&gt;&lt;author&gt;Sibmooh, Nathawut&lt;/author&gt;&lt;author&gt;Fucharoen, Suthat&lt;/author&gt;&lt;author&gt;Friedman, Joel M&lt;/author&gt;&lt;/authors&gt;&lt;/contributors&gt;&lt;titles&gt;&lt;title&gt;HbE/β-thalassemia and oxidative stress: the key to pathophysiological mechanisms and novel therapeutics&lt;/title&gt;&lt;secondary-title&gt;Antioxid Redox Signal&lt;/secondary-title&gt;&lt;/titles&gt;&lt;periodical&gt;&lt;full-title&gt;Antioxid Redox Signal&lt;/full-title&gt;&lt;/periodical&gt;&lt;pages&gt;794-813&lt;/pages&gt;&lt;volume&gt;26&lt;/volume&gt;&lt;number&gt;14&lt;/number&gt;&lt;dates&gt;&lt;year&gt;2017&lt;/year&gt;&lt;/dates&gt;&lt;isbn&gt;1523-0864&lt;/isbn&gt;&lt;urls&gt;&lt;/urls&gt;&lt;/record&gt;&lt;/Cite&gt;&lt;/EndNote&gt;</w:instrText>
      </w:r>
      <w:r w:rsidR="005635E1"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[24]</w:t>
      </w:r>
      <w:r w:rsidR="005635E1" w:rsidRPr="000F1953">
        <w:rPr>
          <w:rFonts w:asciiTheme="majorBidi" w:hAnsiTheme="majorBidi" w:cstheme="majorBidi"/>
          <w:sz w:val="24"/>
          <w:szCs w:val="24"/>
          <w:lang w:bidi="fa-IR"/>
        </w:rPr>
        <w:fldChar w:fldCharType="end"/>
      </w:r>
      <w:r w:rsidR="0003363A" w:rsidRPr="000F1953">
        <w:rPr>
          <w:rFonts w:asciiTheme="majorBidi" w:hAnsiTheme="majorBidi" w:cstheme="majorBidi"/>
          <w:sz w:val="24"/>
          <w:szCs w:val="24"/>
          <w:lang w:bidi="fa-IR"/>
        </w:rPr>
        <w:t>. The interplay between impaired splenic function, iron turnover, and ineffective erythropoiesis may thus contribute to the elevated systemic burden observed in splenectomized individuals</w:t>
      </w:r>
      <w:r w:rsidR="00437C7F" w:rsidRPr="000F1953">
        <w:rPr>
          <w:rFonts w:asciiTheme="majorBidi" w:hAnsiTheme="majorBidi" w:cstheme="majorBidi"/>
          <w:sz w:val="24"/>
          <w:szCs w:val="24"/>
          <w:lang w:bidi="fa-IR"/>
        </w:rPr>
        <w:t xml:space="preserve"> </w:t>
      </w:r>
      <w:r w:rsidR="00845F09" w:rsidRPr="000F1953">
        <w:rPr>
          <w:rFonts w:asciiTheme="majorBidi" w:hAnsiTheme="majorBidi" w:cstheme="majorBidi"/>
          <w:sz w:val="24"/>
          <w:szCs w:val="24"/>
          <w:lang w:bidi="fa-IR"/>
        </w:rPr>
        <w:fldChar w:fldCharType="begin"/>
      </w:r>
      <w:r w:rsidR="0009557E">
        <w:rPr>
          <w:rFonts w:asciiTheme="majorBidi" w:hAnsiTheme="majorBidi" w:cstheme="majorBidi"/>
          <w:sz w:val="24"/>
          <w:szCs w:val="24"/>
          <w:lang w:bidi="fa-IR"/>
        </w:rPr>
        <w:instrText xml:space="preserve"> ADDIN EN.CITE &lt;EndNote&gt;&lt;Cite&gt;&lt;Author&gt;Kolnagou&lt;/Author&gt;&lt;Year&gt;2013&lt;/Year&gt;&lt;RecNum&gt;22&lt;/RecNum&gt;&lt;DisplayText&gt;&lt;style face="superscript"&gt;[25]&lt;/style&gt;&lt;/DisplayText&gt;&lt;record&gt;&lt;rec-number&gt;22&lt;/rec-number&gt;&lt;foreign-keys&gt;&lt;key app="EN" db-id="vwpp5pa0laz0wtewve755txcsrrxa2vxvxp9" timestamp="1755336877"&gt;22&lt;/key&gt;&lt;/foreign-keys&gt;&lt;ref-type name="Journal Article"&gt;17&lt;/ref-type&gt;&lt;contributors&gt;&lt;authors&gt;&lt;author&gt;Kolnagou, Annita&lt;/author&gt;&lt;author&gt;Michaelides, Yiannis&lt;/author&gt;&lt;author&gt;Kontoghiorghe, Christina N&lt;/author&gt;&lt;author&gt;Kontoghiorghes, George J&lt;/author&gt;&lt;/authors&gt;&lt;/contributors&gt;&lt;titles&gt;&lt;title&gt;The importance of spleen, spleen iron, and splenectomy for determining total body iron load, ferrikinetics, and iron toxicity in thalassemia major patients&lt;/title&gt;&lt;secondary-title&gt;Toxicol. Mech. Methods&lt;/secondary-title&gt;&lt;/titles&gt;&lt;periodical&gt;&lt;full-title&gt;Toxicol. Mech. Methods&lt;/full-title&gt;&lt;/periodical&gt;&lt;pages&gt;34-41&lt;/pages&gt;&lt;volume&gt;23&lt;/volume&gt;&lt;number&gt;1&lt;/number&gt;&lt;dates&gt;&lt;year&gt;2013&lt;/year&gt;&lt;/dates&gt;&lt;isbn&gt;1537-6516&lt;/isbn&gt;&lt;urls&gt;&lt;/urls&gt;&lt;/record&gt;&lt;/Cite&gt;&lt;/EndNote&gt;</w:instrText>
      </w:r>
      <w:r w:rsidR="00845F09"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[25]</w:t>
      </w:r>
      <w:r w:rsidR="00845F09" w:rsidRPr="000F1953">
        <w:rPr>
          <w:rFonts w:asciiTheme="majorBidi" w:hAnsiTheme="majorBidi" w:cstheme="majorBidi"/>
          <w:sz w:val="24"/>
          <w:szCs w:val="24"/>
          <w:lang w:bidi="fa-IR"/>
        </w:rPr>
        <w:fldChar w:fldCharType="end"/>
      </w:r>
      <w:r w:rsidR="0003363A" w:rsidRPr="000F1953">
        <w:rPr>
          <w:rFonts w:asciiTheme="majorBidi" w:hAnsiTheme="majorBidi" w:cstheme="majorBidi"/>
          <w:sz w:val="24"/>
          <w:szCs w:val="24"/>
          <w:lang w:bidi="fa-IR"/>
        </w:rPr>
        <w:t>. These results underscore the importance of considering surgical history in the comprehensive pathophysiological assessment of Hb H disease</w:t>
      </w:r>
    </w:p>
    <w:p w14:paraId="7612D13D" w14:textId="285EEB3A" w:rsidR="0003363A" w:rsidRPr="000F1953" w:rsidRDefault="00CC1487" w:rsidP="00C2358C">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03363A" w:rsidRPr="000F1953">
        <w:rPr>
          <w:rFonts w:asciiTheme="majorBidi" w:hAnsiTheme="majorBidi" w:cstheme="majorBidi"/>
          <w:sz w:val="24"/>
          <w:szCs w:val="24"/>
          <w:lang w:bidi="fa-IR"/>
        </w:rPr>
        <w:t>The findings of our study suggest several clinical considerations that may enhance the management of patients with Hb H disease. The identification of genotype-specific biochemical profiles has important clinical implications. ND/D patients, who comprised approximately one-third of the cohort, consistently exhibited the most severe biochemical abnormalities and highest transfusion demands. These individuals may benefit from closer clinical follow-up, earlier initiation of iron chelation therapy, and potentially, the use of antioxidant support.</w:t>
      </w:r>
    </w:p>
    <w:p w14:paraId="01568521" w14:textId="6705C437" w:rsidR="00B97E3A" w:rsidRPr="000F1953" w:rsidRDefault="00CC1487" w:rsidP="00C2358C">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03363A" w:rsidRPr="000F1953">
        <w:rPr>
          <w:rFonts w:asciiTheme="majorBidi" w:hAnsiTheme="majorBidi" w:cstheme="majorBidi"/>
          <w:sz w:val="24"/>
          <w:szCs w:val="24"/>
          <w:lang w:bidi="fa-IR"/>
        </w:rPr>
        <w:t>Elevated levels of inflammatory markers — particularly CRP and AST — in this subgroup raise concerns about tissue stress and the risk of hepatic or other organ involvement. Splenectomy was also more common among ND/D patients compared to other genotypes, indicating a greater likelihood of splenic complications. Notably, even individuals with the D/D genotype, often considered the mildest form, demonstrated significantly elevated levels of GDF-15 and MDA relative to controls. This suggests that underlying disease activity may still be present in less severe genotypes and that ongoing clinical monitoring remains warranted</w:t>
      </w:r>
      <w:r w:rsidR="00B97E3A" w:rsidRPr="000F1953">
        <w:rPr>
          <w:rFonts w:asciiTheme="majorBidi" w:hAnsiTheme="majorBidi" w:cstheme="majorBidi"/>
          <w:sz w:val="24"/>
          <w:szCs w:val="24"/>
          <w:lang w:bidi="fa-IR"/>
        </w:rPr>
        <w:t>.</w:t>
      </w:r>
    </w:p>
    <w:p w14:paraId="1C9ADF3C" w14:textId="4985E226" w:rsidR="0003363A" w:rsidRPr="000F1953" w:rsidRDefault="00CC1487" w:rsidP="0009557E">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03363A" w:rsidRPr="000F1953">
        <w:rPr>
          <w:rFonts w:asciiTheme="majorBidi" w:hAnsiTheme="majorBidi" w:cstheme="majorBidi"/>
          <w:sz w:val="24"/>
          <w:szCs w:val="24"/>
          <w:lang w:bidi="fa-IR"/>
        </w:rPr>
        <w:t>Given the significant disease burden observed in certain genotypic subtypes — particularly compound heterozygotes involving non-deletional mutations — prenatal diagnosis (PND) and pre-implantation genetic diagnosis (PGD) should be strongly considered in at-risk couples, especially those with a family history of Hb H disease or known α-globin variants. Early molecular diagnosis during pregnancy enables the identification of fetuses at risk for clinically significant forms of the disease, thereby facilitating timely counseling and informed reproductive decision-making. This approach is especially important in regions with a high carrier frequency of complex α-globin mutations, where the likelihood of conceiving severely affected offspring is substantial. Integrating targeted PND programs into routine preventive strategies may substantially reduce the incidence of severe α-thalassemia syndromes and support broader public health efforts aimed at early intervention and genetic counseling. Such initiatives are particularly vital in countries with limited access to comprehensive postnatal care, where prevention remains the most practical and cost-effective strategy for reducing disease burden</w:t>
      </w:r>
      <w:r w:rsidR="00564572" w:rsidRPr="000F1953">
        <w:rPr>
          <w:rFonts w:asciiTheme="majorBidi" w:hAnsiTheme="majorBidi" w:cstheme="majorBidi"/>
          <w:sz w:val="24"/>
          <w:szCs w:val="24"/>
          <w:lang w:bidi="fa-IR"/>
        </w:rPr>
        <w:t xml:space="preserve"> </w:t>
      </w:r>
      <w:r w:rsidR="00564572" w:rsidRPr="000F1953">
        <w:rPr>
          <w:rFonts w:asciiTheme="majorBidi" w:hAnsiTheme="majorBidi" w:cstheme="majorBidi"/>
          <w:sz w:val="24"/>
          <w:szCs w:val="24"/>
          <w:lang w:bidi="fa-IR"/>
        </w:rPr>
        <w:fldChar w:fldCharType="begin">
          <w:fldData xml:space="preserve">PEVuZE5vdGU+PENpdGU+PEF1dGhvcj5BbW1hcjwvQXV0aG9yPjxZZWFyPjIwMTQ8L1llYXI+PFJl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</w:fldData>
        </w:fldChar>
      </w:r>
      <w:r w:rsidR="0009557E">
        <w:rPr>
          <w:rFonts w:asciiTheme="majorBidi" w:hAnsiTheme="majorBidi" w:cstheme="majorBidi"/>
          <w:sz w:val="24"/>
          <w:szCs w:val="24"/>
          <w:lang w:bidi="fa-IR"/>
        </w:rPr>
        <w:instrText xml:space="preserve"> ADDIN EN.CITE </w:instrText>
      </w:r>
      <w:r w:rsidR="0009557E">
        <w:rPr>
          <w:rFonts w:asciiTheme="majorBidi" w:hAnsiTheme="majorBidi" w:cstheme="majorBidi"/>
          <w:sz w:val="24"/>
          <w:szCs w:val="24"/>
          <w:lang w:bidi="fa-IR"/>
        </w:rPr>
        <w:fldChar w:fldCharType="begin">
          <w:fldData xml:space="preserve">PEVuZE5vdGU+PENpdGU+PEF1dGhvcj5BbW1hcjwvQXV0aG9yPjxZZWFyPjIwMTQ8L1llYXI+PFJl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</w:fldData>
        </w:fldChar>
      </w:r>
      <w:r w:rsidR="0009557E">
        <w:rPr>
          <w:rFonts w:asciiTheme="majorBidi" w:hAnsiTheme="majorBidi" w:cstheme="majorBidi"/>
          <w:sz w:val="24"/>
          <w:szCs w:val="24"/>
          <w:lang w:bidi="fa-IR"/>
        </w:rPr>
        <w:instrText xml:space="preserve"> ADDIN EN.CITE.DATA </w:instrText>
      </w:r>
      <w:r w:rsidR="0009557E">
        <w:rPr>
          <w:rFonts w:asciiTheme="majorBidi" w:hAnsiTheme="majorBidi" w:cstheme="majorBidi"/>
          <w:sz w:val="24"/>
          <w:szCs w:val="24"/>
          <w:lang w:bidi="fa-IR"/>
        </w:rPr>
      </w:r>
      <w:r w:rsidR="0009557E">
        <w:rPr>
          <w:rFonts w:asciiTheme="majorBidi" w:hAnsiTheme="majorBidi" w:cstheme="majorBidi"/>
          <w:sz w:val="24"/>
          <w:szCs w:val="24"/>
          <w:lang w:bidi="fa-IR"/>
        </w:rPr>
        <w:fldChar w:fldCharType="end"/>
      </w:r>
      <w:r w:rsidR="00564572" w:rsidRPr="000F1953">
        <w:rPr>
          <w:rFonts w:asciiTheme="majorBidi" w:hAnsiTheme="majorBidi" w:cstheme="majorBidi"/>
          <w:sz w:val="24"/>
          <w:szCs w:val="24"/>
          <w:lang w:bidi="fa-IR"/>
        </w:rPr>
      </w:r>
      <w:r w:rsidR="00564572" w:rsidRPr="000F1953">
        <w:rPr>
          <w:rFonts w:asciiTheme="majorBidi" w:hAnsiTheme="majorBidi" w:cstheme="majorBidi"/>
          <w:sz w:val="24"/>
          <w:szCs w:val="24"/>
          <w:lang w:bidi="fa-IR"/>
        </w:rPr>
        <w:fldChar w:fldCharType="separate"/>
      </w:r>
      <w:r w:rsidR="0009557E" w:rsidRPr="0009557E">
        <w:rPr>
          <w:rFonts w:asciiTheme="majorBidi" w:hAnsiTheme="majorBidi" w:cstheme="majorBidi"/>
          <w:noProof/>
          <w:sz w:val="24"/>
          <w:szCs w:val="24"/>
          <w:vertAlign w:val="superscript"/>
          <w:lang w:bidi="fa-IR"/>
        </w:rPr>
        <w:t>[26-28]</w:t>
      </w:r>
      <w:r w:rsidR="00564572" w:rsidRPr="000F1953">
        <w:rPr>
          <w:rFonts w:asciiTheme="majorBidi" w:hAnsiTheme="majorBidi" w:cstheme="majorBidi"/>
          <w:sz w:val="24"/>
          <w:szCs w:val="24"/>
          <w:lang w:bidi="fa-IR"/>
        </w:rPr>
        <w:fldChar w:fldCharType="end"/>
      </w:r>
      <w:r w:rsidR="0003363A" w:rsidRPr="000F1953">
        <w:rPr>
          <w:rFonts w:asciiTheme="majorBidi" w:hAnsiTheme="majorBidi" w:cstheme="majorBidi"/>
          <w:sz w:val="24"/>
          <w:szCs w:val="24"/>
          <w:lang w:bidi="fa-IR"/>
        </w:rPr>
        <w:t>.</w:t>
      </w:r>
    </w:p>
    <w:p w14:paraId="7C72D05E" w14:textId="2F1B2D23" w:rsidR="0003363A" w:rsidRPr="000F1953" w:rsidRDefault="00CC1487" w:rsidP="00C2358C">
      <w:pPr>
        <w:spacing w:line="24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     </w:t>
      </w:r>
      <w:r w:rsidR="0003363A" w:rsidRPr="000F1953">
        <w:rPr>
          <w:rFonts w:asciiTheme="majorBidi" w:hAnsiTheme="majorBidi" w:cstheme="majorBidi"/>
          <w:sz w:val="24"/>
          <w:szCs w:val="24"/>
          <w:lang w:bidi="fa-IR"/>
        </w:rPr>
        <w:t>While our findings offer novel insights into genotype–phenotype relationships in Hb H disease, several methodological limitations should be acknowledged. The cross-sectional design of the study precludes causal inferences and limits the assessment of temporal trends in biomarker changes. Moreover, the relatively small sample sizes within certain genotypic subgroups may have reduced statistical power for some comparisons. The absence of longitudinal follow-up also restricts evaluation of the prognostic value of the studied biomarkers over time.</w:t>
      </w:r>
    </w:p>
    <w:p w14:paraId="5BB0A29A" w14:textId="77777777" w:rsidR="0003363A" w:rsidRDefault="0003363A" w:rsidP="00C2358C">
      <w:pPr>
        <w:spacing w:line="240" w:lineRule="auto"/>
        <w:jc w:val="both"/>
        <w:rPr>
          <w:rFonts w:asciiTheme="majorBidi" w:hAnsiTheme="majorBidi" w:cstheme="majorBidi"/>
          <w:sz w:val="24"/>
          <w:szCs w:val="24"/>
          <w:lang w:bidi="fa-IR"/>
        </w:rPr>
      </w:pPr>
      <w:r w:rsidRPr="000F1953">
        <w:rPr>
          <w:rFonts w:asciiTheme="majorBidi" w:hAnsiTheme="majorBidi" w:cstheme="majorBidi"/>
          <w:sz w:val="24"/>
          <w:szCs w:val="24"/>
          <w:lang w:bidi="fa-IR"/>
        </w:rPr>
        <w:t>Future research should aim to monitor these biomarkers prospectively to clarify their longitudinal trends and predictive value. Studies targeting the GDF-15–hepcidin axis or oxidative pathways may offer promising therapeutic avenues. Additionally, further investigation into potential genetic and epigenetic modifiers is warranted to better understand the phenotypic variability observed within genotypic subgroups and to refine risk stratification models in Hb H disease.</w:t>
      </w:r>
    </w:p>
    <w:p w14:paraId="2CABBFD4" w14:textId="5C67A51B" w:rsidR="00A971E1" w:rsidRPr="00A971E1" w:rsidRDefault="00A971E1" w:rsidP="00A971E1">
      <w:pPr>
        <w:pStyle w:val="ListParagraph"/>
        <w:ind w:left="0"/>
        <w:jc w:val="both"/>
        <w:rPr>
          <w:rFonts w:asciiTheme="majorBidi" w:hAnsiTheme="majorBidi" w:cstheme="majorBidi"/>
          <w:b/>
          <w:bCs/>
          <w:color w:val="000000" w:themeColor="text1"/>
          <w:sz w:val="24"/>
          <w:szCs w:val="24"/>
          <w:highlight w:val="yellow"/>
        </w:rPr>
      </w:pPr>
      <w:r w:rsidRPr="00A971E1">
        <w:rPr>
          <w:rFonts w:asciiTheme="majorBidi" w:hAnsiTheme="majorBidi" w:cstheme="majorBidi"/>
          <w:b/>
          <w:bCs/>
          <w:color w:val="000000" w:themeColor="text1"/>
          <w:sz w:val="24"/>
          <w:szCs w:val="24"/>
          <w:highlight w:val="yellow"/>
        </w:rPr>
        <w:t>CONCLUSION</w:t>
      </w:r>
    </w:p>
    <w:p w14:paraId="14949248" w14:textId="4D6166A6" w:rsidR="00A971E1" w:rsidRPr="00A971E1" w:rsidRDefault="00A971E1" w:rsidP="00A971E1">
      <w:pPr>
        <w:pStyle w:val="ListParagraph"/>
        <w:ind w:left="0"/>
        <w:jc w:val="both"/>
        <w:rPr>
          <w:rFonts w:asciiTheme="majorBidi" w:hAnsiTheme="majorBidi" w:cstheme="majorBidi"/>
          <w:color w:val="000000" w:themeColor="text1"/>
          <w:sz w:val="24"/>
          <w:szCs w:val="24"/>
          <w:highlight w:val="yellow"/>
        </w:rPr>
      </w:pPr>
      <w:r w:rsidRPr="00A971E1">
        <w:rPr>
          <w:rFonts w:asciiTheme="majorBidi" w:hAnsiTheme="majorBidi" w:cstheme="majorBidi"/>
          <w:color w:val="000000" w:themeColor="text1"/>
          <w:sz w:val="24"/>
          <w:szCs w:val="24"/>
          <w:highlight w:val="yellow"/>
        </w:rPr>
        <w:t>This study demonstrates that α-globin genotypes play a central role in determining the clinical and biochemical manifestations of Hemoglobin H disease. Patients with non-deletional variants, particularly compound heterozygotes, consistently showed more severe hematologic abnormalities, higher transfusion needs, and elevated markers of oxidative stress and ineffective erythropoiesis.</w:t>
      </w:r>
    </w:p>
    <w:p w14:paraId="22BC8131" w14:textId="77777777" w:rsidR="00A971E1" w:rsidRPr="00A971E1" w:rsidRDefault="00A971E1" w:rsidP="00A971E1">
      <w:pPr>
        <w:pStyle w:val="ListParagraph"/>
        <w:ind w:left="0"/>
        <w:jc w:val="both"/>
        <w:rPr>
          <w:rFonts w:asciiTheme="majorBidi" w:hAnsiTheme="majorBidi" w:cstheme="majorBidi"/>
          <w:color w:val="000000" w:themeColor="text1"/>
          <w:sz w:val="24"/>
          <w:szCs w:val="24"/>
          <w:highlight w:val="yellow"/>
        </w:rPr>
      </w:pPr>
      <w:r w:rsidRPr="00A971E1">
        <w:rPr>
          <w:rFonts w:asciiTheme="majorBidi" w:hAnsiTheme="majorBidi" w:cstheme="majorBidi"/>
          <w:color w:val="000000" w:themeColor="text1"/>
          <w:sz w:val="24"/>
          <w:szCs w:val="24"/>
          <w:highlight w:val="yellow"/>
        </w:rPr>
        <w:t>Importantly, even patients with genotypes traditionally considered mild exhibited subclinical biochemical burden, indicating that genetic classification alone may not fully predict disease severity. The observed progressive rise in malondialdehyde (MDA) and GDF-15 levels across both genotypic and transfusion-defined subgroups highlights their potential as practical biomarkers for monitoring disease activity.</w:t>
      </w:r>
    </w:p>
    <w:p w14:paraId="34B4EEA5" w14:textId="77777777" w:rsidR="00A971E1" w:rsidRPr="00A971E1" w:rsidRDefault="00A971E1" w:rsidP="00A971E1">
      <w:pPr>
        <w:pStyle w:val="ListParagraph"/>
        <w:ind w:left="0"/>
        <w:jc w:val="both"/>
        <w:rPr>
          <w:rFonts w:asciiTheme="majorBidi" w:hAnsiTheme="majorBidi" w:cstheme="majorBidi"/>
          <w:color w:val="000000" w:themeColor="text1"/>
          <w:sz w:val="24"/>
          <w:szCs w:val="24"/>
        </w:rPr>
      </w:pPr>
      <w:r w:rsidRPr="00A971E1">
        <w:rPr>
          <w:rFonts w:asciiTheme="majorBidi" w:hAnsiTheme="majorBidi" w:cstheme="majorBidi"/>
          <w:color w:val="000000" w:themeColor="text1"/>
          <w:sz w:val="24"/>
          <w:szCs w:val="24"/>
          <w:highlight w:val="yellow"/>
        </w:rPr>
        <w:t>These findings suggest that incorporating GDF-15 and oxidative stress markers into routine diagnostic and monitoring protocols could improve risk stratification and enable more personalized management strategies for Hb H patients. Future studies should validate these biomarkers in larger cohorts and explore their potential in guiding therapeutic decisions.</w:t>
      </w:r>
    </w:p>
    <w:p w14:paraId="6BC3F8C8" w14:textId="2B086300" w:rsidR="0090310B" w:rsidRPr="000F1953" w:rsidRDefault="0090310B" w:rsidP="00C2358C">
      <w:pPr>
        <w:spacing w:line="240" w:lineRule="auto"/>
        <w:jc w:val="both"/>
        <w:rPr>
          <w:rFonts w:asciiTheme="majorBidi" w:hAnsiTheme="majorBidi" w:cstheme="majorBidi"/>
          <w:b/>
          <w:bCs/>
          <w:sz w:val="24"/>
          <w:szCs w:val="24"/>
          <w:lang w:bidi="fa-IR"/>
        </w:rPr>
      </w:pPr>
      <w:r w:rsidRPr="000F1953">
        <w:rPr>
          <w:rFonts w:asciiTheme="majorBidi" w:hAnsiTheme="majorBidi" w:cstheme="majorBidi"/>
          <w:b/>
          <w:bCs/>
          <w:sz w:val="24"/>
          <w:szCs w:val="24"/>
          <w:lang w:bidi="fa-IR"/>
        </w:rPr>
        <w:t xml:space="preserve">References </w:t>
      </w:r>
    </w:p>
    <w:p w14:paraId="6057B9F3" w14:textId="77777777" w:rsidR="0009557E" w:rsidRPr="0009557E" w:rsidRDefault="0090310B" w:rsidP="0009557E">
      <w:pPr>
        <w:pStyle w:val="EndNoteBibliography"/>
        <w:spacing w:after="0"/>
      </w:pPr>
      <w:r w:rsidRPr="000F1953">
        <w:rPr>
          <w:rFonts w:asciiTheme="majorBidi" w:hAnsiTheme="majorBidi" w:cstheme="majorBidi"/>
          <w:sz w:val="24"/>
          <w:szCs w:val="24"/>
          <w:lang w:bidi="fa-IR"/>
        </w:rPr>
        <w:fldChar w:fldCharType="begin"/>
      </w:r>
      <w:r w:rsidRPr="000F1953">
        <w:rPr>
          <w:rFonts w:asciiTheme="majorBidi" w:hAnsiTheme="majorBidi" w:cstheme="majorBidi"/>
          <w:sz w:val="24"/>
          <w:szCs w:val="24"/>
          <w:lang w:bidi="fa-IR"/>
        </w:rPr>
        <w:instrText xml:space="preserve"> ADDIN EN.REFLIST </w:instrText>
      </w:r>
      <w:r w:rsidRPr="000F1953">
        <w:rPr>
          <w:rFonts w:asciiTheme="majorBidi" w:hAnsiTheme="majorBidi" w:cstheme="majorBidi"/>
          <w:sz w:val="24"/>
          <w:szCs w:val="24"/>
          <w:lang w:bidi="fa-IR"/>
        </w:rPr>
        <w:fldChar w:fldCharType="separate"/>
      </w:r>
      <w:r w:rsidR="0009557E" w:rsidRPr="0009557E">
        <w:t>1.</w:t>
      </w:r>
      <w:r w:rsidR="0009557E" w:rsidRPr="0009557E">
        <w:tab/>
        <w:t xml:space="preserve">Lal A, Goldrich ML, Haines DA, Azimi M, Singer ST, Vichinsky EPJNEJoM (2011). Heterogeneity of hemoglobin H disease in childhood. </w:t>
      </w:r>
      <w:r w:rsidR="0009557E" w:rsidRPr="0009557E">
        <w:rPr>
          <w:i/>
        </w:rPr>
        <w:t>N Engl J Med</w:t>
      </w:r>
      <w:r w:rsidR="0009557E" w:rsidRPr="0009557E">
        <w:t>;364(8):710-8.</w:t>
      </w:r>
    </w:p>
    <w:p w14:paraId="2CF5B54B" w14:textId="77777777" w:rsidR="0009557E" w:rsidRPr="0009557E" w:rsidRDefault="0009557E" w:rsidP="0009557E">
      <w:pPr>
        <w:pStyle w:val="EndNoteBibliography"/>
        <w:spacing w:after="0"/>
      </w:pPr>
      <w:r w:rsidRPr="0009557E">
        <w:t>2.</w:t>
      </w:r>
      <w:r w:rsidRPr="0009557E">
        <w:tab/>
        <w:t xml:space="preserve">Fucharoen S, Viprakasit VJAEPB (2009). Hb H disease: clinical course and disease modifiers. </w:t>
      </w:r>
      <w:r w:rsidRPr="0009557E">
        <w:rPr>
          <w:i/>
        </w:rPr>
        <w:t>Hematology Am Soc Hematol Educ Program</w:t>
      </w:r>
      <w:r w:rsidRPr="0009557E">
        <w:t>;2009(1):26-34.</w:t>
      </w:r>
    </w:p>
    <w:p w14:paraId="529A2064" w14:textId="77777777" w:rsidR="0009557E" w:rsidRPr="0009557E" w:rsidRDefault="0009557E" w:rsidP="0009557E">
      <w:pPr>
        <w:pStyle w:val="EndNoteBibliography"/>
        <w:spacing w:after="0"/>
      </w:pPr>
      <w:r w:rsidRPr="0009557E">
        <w:t>3.</w:t>
      </w:r>
      <w:r w:rsidRPr="0009557E">
        <w:tab/>
        <w:t xml:space="preserve">Chiou SS, Tsao CJ, Tsai SM, Wu YR, Liao YM, Lin PC, et al. (2014). Metabolic pathways related to oxidative stress in patients with hemoglobin H disease and iron overload. </w:t>
      </w:r>
      <w:r w:rsidRPr="0009557E">
        <w:rPr>
          <w:i/>
        </w:rPr>
        <w:t>J Clin Lab Anal</w:t>
      </w:r>
      <w:r w:rsidRPr="0009557E">
        <w:t>;28(4):261-8.</w:t>
      </w:r>
    </w:p>
    <w:p w14:paraId="1E0F5955" w14:textId="77777777" w:rsidR="0009557E" w:rsidRPr="0009557E" w:rsidRDefault="0009557E" w:rsidP="0009557E">
      <w:pPr>
        <w:pStyle w:val="EndNoteBibliography"/>
        <w:spacing w:after="0"/>
      </w:pPr>
      <w:r w:rsidRPr="0009557E">
        <w:t>4.</w:t>
      </w:r>
      <w:r w:rsidRPr="0009557E">
        <w:tab/>
        <w:t xml:space="preserve">Fibach E, Rachmilewitz EAJAotNYAoS (2010). The role of antioxidants and iron chelators in the treatment of oxidative stress in thalassemia. </w:t>
      </w:r>
      <w:r w:rsidRPr="0009557E">
        <w:rPr>
          <w:i/>
        </w:rPr>
        <w:t>Ann N Y Acad Sci</w:t>
      </w:r>
      <w:r w:rsidRPr="0009557E">
        <w:t>;1202(1):10-6.</w:t>
      </w:r>
    </w:p>
    <w:p w14:paraId="2EB373B7" w14:textId="77777777" w:rsidR="0009557E" w:rsidRPr="0009557E" w:rsidRDefault="0009557E" w:rsidP="0009557E">
      <w:pPr>
        <w:pStyle w:val="EndNoteBibliography"/>
        <w:spacing w:after="0"/>
      </w:pPr>
      <w:r w:rsidRPr="0009557E">
        <w:t>5.</w:t>
      </w:r>
      <w:r w:rsidRPr="0009557E">
        <w:tab/>
        <w:t>Walter PB, Fung EB, Killilea DW, Jiang Q, Hudes M, Madden J, et al. (2006). Oxidative stress and inflammation in iron</w:t>
      </w:r>
      <w:r w:rsidRPr="0009557E">
        <w:rPr>
          <w:rFonts w:ascii="Cambria Math" w:hAnsi="Cambria Math" w:cs="Cambria Math"/>
        </w:rPr>
        <w:t>‐</w:t>
      </w:r>
      <w:r w:rsidRPr="0009557E">
        <w:t>overloaded patients with β</w:t>
      </w:r>
      <w:r w:rsidRPr="0009557E">
        <w:rPr>
          <w:rFonts w:ascii="Cambria Math" w:hAnsi="Cambria Math" w:cs="Cambria Math"/>
        </w:rPr>
        <w:t>‐</w:t>
      </w:r>
      <w:r w:rsidRPr="0009557E">
        <w:t xml:space="preserve">thalassaemia or sickle cell disease. </w:t>
      </w:r>
      <w:r w:rsidRPr="0009557E">
        <w:rPr>
          <w:i/>
        </w:rPr>
        <w:t>Br J Haematol</w:t>
      </w:r>
      <w:r w:rsidRPr="0009557E">
        <w:t>;135(2):254-63.</w:t>
      </w:r>
    </w:p>
    <w:p w14:paraId="23102015" w14:textId="77777777" w:rsidR="0009557E" w:rsidRPr="0009557E" w:rsidRDefault="0009557E" w:rsidP="0009557E">
      <w:pPr>
        <w:pStyle w:val="EndNoteBibliography"/>
        <w:spacing w:after="0"/>
      </w:pPr>
      <w:r w:rsidRPr="0009557E">
        <w:t>6.</w:t>
      </w:r>
      <w:r w:rsidRPr="0009557E">
        <w:tab/>
        <w:t xml:space="preserve">Yao X, Xu L-H, Xu H-G, Li X-Y, Liu Y, Fang J-PJH (2019). Iron metabolism and oxidative status in patients with Hb H disease. </w:t>
      </w:r>
      <w:r w:rsidRPr="0009557E">
        <w:rPr>
          <w:i/>
        </w:rPr>
        <w:t>Hemoglobin</w:t>
      </w:r>
      <w:r w:rsidRPr="0009557E">
        <w:t>;43(1):38-41.</w:t>
      </w:r>
    </w:p>
    <w:p w14:paraId="19ED0B80" w14:textId="77777777" w:rsidR="0009557E" w:rsidRPr="0009557E" w:rsidRDefault="0009557E" w:rsidP="0009557E">
      <w:pPr>
        <w:pStyle w:val="EndNoteBibliography"/>
        <w:spacing w:after="0"/>
      </w:pPr>
      <w:r w:rsidRPr="0009557E">
        <w:t>7.</w:t>
      </w:r>
      <w:r w:rsidRPr="0009557E">
        <w:tab/>
        <w:t xml:space="preserve">Piolatto A, Teti M, Tesio N, Ferrero GB, Piga A, Longo FJB (2021). Serum GDF15 in β-thalassemia: a quantitative marker of ineffective erythropoiesis? </w:t>
      </w:r>
      <w:r w:rsidRPr="0009557E">
        <w:rPr>
          <w:i/>
        </w:rPr>
        <w:t>Blood</w:t>
      </w:r>
      <w:r w:rsidRPr="0009557E">
        <w:t>;138:2017.</w:t>
      </w:r>
    </w:p>
    <w:p w14:paraId="44D978AB" w14:textId="77777777" w:rsidR="0009557E" w:rsidRPr="0009557E" w:rsidRDefault="0009557E" w:rsidP="0009557E">
      <w:pPr>
        <w:pStyle w:val="EndNoteBibliography"/>
        <w:spacing w:after="0"/>
      </w:pPr>
      <w:r w:rsidRPr="0009557E">
        <w:t>8.</w:t>
      </w:r>
      <w:r w:rsidRPr="0009557E">
        <w:tab/>
        <w:t xml:space="preserve">Tanno T, Bhanu NV, Oneal PA, Goh S-H, Staker P, Lee YT, et al. (2007). High levels of GDF15 in thalassemia suppress expression of the iron regulatory protein hepcidin. </w:t>
      </w:r>
      <w:r w:rsidRPr="0009557E">
        <w:rPr>
          <w:i/>
        </w:rPr>
        <w:t>Nat Med</w:t>
      </w:r>
      <w:r w:rsidRPr="0009557E">
        <w:t>;13(9):1096-101.</w:t>
      </w:r>
    </w:p>
    <w:p w14:paraId="742EEB77" w14:textId="77777777" w:rsidR="0009557E" w:rsidRPr="0009557E" w:rsidRDefault="0009557E" w:rsidP="0009557E">
      <w:pPr>
        <w:pStyle w:val="EndNoteBibliography"/>
        <w:spacing w:after="0"/>
      </w:pPr>
      <w:r w:rsidRPr="0009557E">
        <w:t>9.</w:t>
      </w:r>
      <w:r w:rsidRPr="0009557E">
        <w:tab/>
        <w:t xml:space="preserve">Musallam KM, Taher AT, Duca L, Cesaretti C, Halawi R, Cappellini MDJBC, Molecules,, et al. (2011). Levels of growth differentiation factor-15 are high and correlate with clinical severity in transfusion-independent patients with β thalassemia intermedia. </w:t>
      </w:r>
      <w:r w:rsidRPr="0009557E">
        <w:rPr>
          <w:i/>
        </w:rPr>
        <w:t>Blood Cells Mol Dis</w:t>
      </w:r>
      <w:r w:rsidRPr="0009557E">
        <w:t>;47(4):232-4.</w:t>
      </w:r>
    </w:p>
    <w:p w14:paraId="7CCC3E1C" w14:textId="77777777" w:rsidR="0009557E" w:rsidRPr="0009557E" w:rsidRDefault="0009557E" w:rsidP="0009557E">
      <w:pPr>
        <w:pStyle w:val="EndNoteBibliography"/>
        <w:spacing w:after="0"/>
      </w:pPr>
      <w:r w:rsidRPr="0009557E">
        <w:t>10.</w:t>
      </w:r>
      <w:r w:rsidRPr="0009557E">
        <w:tab/>
        <w:t xml:space="preserve">Youssry I, Samy RM, AbdelMohsen M, Salama NMJPR (2024). The association between growth differentiation factor-15, erythroferrone, and iron status in thalassemic patients. </w:t>
      </w:r>
      <w:r w:rsidRPr="0009557E">
        <w:rPr>
          <w:i/>
        </w:rPr>
        <w:t>Pediatr Res</w:t>
      </w:r>
      <w:r w:rsidRPr="0009557E">
        <w:t>;95(4):1095-100.</w:t>
      </w:r>
    </w:p>
    <w:p w14:paraId="48E27B2E" w14:textId="77777777" w:rsidR="0009557E" w:rsidRPr="0009557E" w:rsidRDefault="0009557E" w:rsidP="0009557E">
      <w:pPr>
        <w:pStyle w:val="EndNoteBibliography"/>
        <w:spacing w:after="0"/>
      </w:pPr>
      <w:r w:rsidRPr="0009557E">
        <w:t>11.</w:t>
      </w:r>
      <w:r w:rsidRPr="0009557E">
        <w:tab/>
        <w:t xml:space="preserve">MWer S, Dykes D, Polesky HJNar (1988). A simple salting out procedure for extracting DNA from human nucleated cells. </w:t>
      </w:r>
      <w:r w:rsidRPr="0009557E">
        <w:rPr>
          <w:i/>
        </w:rPr>
        <w:t>Nucleic Acids Res</w:t>
      </w:r>
      <w:r w:rsidRPr="0009557E">
        <w:t>;16(3):1215.</w:t>
      </w:r>
    </w:p>
    <w:p w14:paraId="14F536F2" w14:textId="77777777" w:rsidR="0009557E" w:rsidRPr="0009557E" w:rsidRDefault="0009557E" w:rsidP="0009557E">
      <w:pPr>
        <w:pStyle w:val="EndNoteBibliography"/>
        <w:spacing w:after="0"/>
      </w:pPr>
      <w:r w:rsidRPr="0009557E">
        <w:t>12.</w:t>
      </w:r>
      <w:r w:rsidRPr="0009557E">
        <w:tab/>
        <w:t xml:space="preserve">Chong SS, Boehm CD, Higgs DR, Cutting GRJB, The Journal of the American Society of Hematology (2000). Single-tube multiplex-PCR screen for common deletional determinants of α-thalassemia. </w:t>
      </w:r>
      <w:r w:rsidRPr="0009557E">
        <w:rPr>
          <w:i/>
        </w:rPr>
        <w:t>Blood</w:t>
      </w:r>
      <w:r w:rsidRPr="0009557E">
        <w:t>;95(1):360-2.</w:t>
      </w:r>
    </w:p>
    <w:p w14:paraId="1505C397" w14:textId="77777777" w:rsidR="0009557E" w:rsidRPr="0009557E" w:rsidRDefault="0009557E" w:rsidP="0009557E">
      <w:pPr>
        <w:pStyle w:val="EndNoteBibliography"/>
        <w:spacing w:after="0"/>
      </w:pPr>
      <w:r w:rsidRPr="0009557E">
        <w:t>13.</w:t>
      </w:r>
      <w:r w:rsidRPr="0009557E">
        <w:tab/>
        <w:t xml:space="preserve">Ohkawa H, Ohishi N, Yagi KJAb (1979). Assay for lipid peroxides in animal tissues by thiobarbituric acid reaction. </w:t>
      </w:r>
      <w:r w:rsidRPr="0009557E">
        <w:rPr>
          <w:i/>
        </w:rPr>
        <w:t>Anal Biochem</w:t>
      </w:r>
      <w:r w:rsidRPr="0009557E">
        <w:t>;95(2):351-8.</w:t>
      </w:r>
    </w:p>
    <w:p w14:paraId="36FF1A84" w14:textId="77777777" w:rsidR="0009557E" w:rsidRPr="0009557E" w:rsidRDefault="0009557E" w:rsidP="0009557E">
      <w:pPr>
        <w:pStyle w:val="EndNoteBibliography"/>
        <w:spacing w:after="0"/>
      </w:pPr>
      <w:r w:rsidRPr="0009557E">
        <w:t>14.</w:t>
      </w:r>
      <w:r w:rsidRPr="0009557E">
        <w:tab/>
        <w:t xml:space="preserve">Abolghasemi H, Kamfar S, Azarkeivan A, Karimi M, Keikhaei B, Abolghasemi F, et al. (2022). Clinical and genetic characteristics of hemoglobin H disease in Iran. </w:t>
      </w:r>
      <w:r w:rsidRPr="0009557E">
        <w:rPr>
          <w:i/>
        </w:rPr>
        <w:t>Pediatr Hematol Oncol</w:t>
      </w:r>
      <w:r w:rsidRPr="0009557E">
        <w:t>;39(6):489-99.</w:t>
      </w:r>
    </w:p>
    <w:p w14:paraId="3777AF48" w14:textId="77777777" w:rsidR="0009557E" w:rsidRPr="0009557E" w:rsidRDefault="0009557E" w:rsidP="0009557E">
      <w:pPr>
        <w:pStyle w:val="EndNoteBibliography"/>
        <w:spacing w:after="0"/>
      </w:pPr>
      <w:r w:rsidRPr="0009557E">
        <w:t>15.</w:t>
      </w:r>
      <w:r w:rsidRPr="0009557E">
        <w:tab/>
        <w:t xml:space="preserve">Ganz T, Nemeth E (2012). Hepcidin and iron homeostasis. </w:t>
      </w:r>
      <w:r w:rsidRPr="0009557E">
        <w:rPr>
          <w:i/>
        </w:rPr>
        <w:t>BBA Mol Cell Res</w:t>
      </w:r>
      <w:r w:rsidRPr="0009557E">
        <w:t>;1823(9):1434-43.</w:t>
      </w:r>
    </w:p>
    <w:p w14:paraId="2AFA4D37" w14:textId="77777777" w:rsidR="0009557E" w:rsidRPr="0009557E" w:rsidRDefault="0009557E" w:rsidP="0009557E">
      <w:pPr>
        <w:pStyle w:val="EndNoteBibliography"/>
        <w:spacing w:after="0"/>
      </w:pPr>
      <w:r w:rsidRPr="0009557E">
        <w:t>16.</w:t>
      </w:r>
      <w:r w:rsidRPr="0009557E">
        <w:tab/>
        <w:t xml:space="preserve">Farashi S, Harteveld CLJBC, Molecules,, Diseases (2018). Molecular basis of α-thalassemia. </w:t>
      </w:r>
      <w:r w:rsidRPr="0009557E">
        <w:rPr>
          <w:i/>
        </w:rPr>
        <w:t>Blood Cells Mol Dis</w:t>
      </w:r>
      <w:r w:rsidRPr="0009557E">
        <w:t>;70:43-53.</w:t>
      </w:r>
    </w:p>
    <w:p w14:paraId="0E5768B5" w14:textId="77777777" w:rsidR="0009557E" w:rsidRPr="0009557E" w:rsidRDefault="0009557E" w:rsidP="0009557E">
      <w:pPr>
        <w:pStyle w:val="EndNoteBibliography"/>
        <w:spacing w:after="0"/>
      </w:pPr>
      <w:r w:rsidRPr="0009557E">
        <w:t>17.</w:t>
      </w:r>
      <w:r w:rsidRPr="0009557E">
        <w:tab/>
        <w:t>Chui DHJAotNYAoS (2005). α</w:t>
      </w:r>
      <w:r w:rsidRPr="0009557E">
        <w:rPr>
          <w:rFonts w:ascii="Cambria Math" w:hAnsi="Cambria Math" w:cs="Cambria Math"/>
        </w:rPr>
        <w:t>‐</w:t>
      </w:r>
      <w:r w:rsidRPr="0009557E">
        <w:t xml:space="preserve">Thalassemia: Hb H disease and Hb Barts hydrops fetalis. </w:t>
      </w:r>
      <w:r w:rsidRPr="0009557E">
        <w:rPr>
          <w:i/>
        </w:rPr>
        <w:t>Ann N Y Acad Sci</w:t>
      </w:r>
      <w:r w:rsidRPr="0009557E">
        <w:t>;1054(1):25-32.</w:t>
      </w:r>
    </w:p>
    <w:p w14:paraId="4907A014" w14:textId="77777777" w:rsidR="0009557E" w:rsidRPr="0009557E" w:rsidRDefault="0009557E" w:rsidP="0009557E">
      <w:pPr>
        <w:pStyle w:val="EndNoteBibliography"/>
        <w:spacing w:after="0"/>
      </w:pPr>
      <w:r w:rsidRPr="0009557E">
        <w:t>18.</w:t>
      </w:r>
      <w:r w:rsidRPr="0009557E">
        <w:tab/>
        <w:t xml:space="preserve">Ünal Ş, Gümrük FJTJoH (2015). The Hematological and molecular spectrum of α-thalassemias in Turkey: The Hacettepe Experience. </w:t>
      </w:r>
      <w:r w:rsidRPr="0009557E">
        <w:rPr>
          <w:i/>
        </w:rPr>
        <w:t>Turk J Haematol</w:t>
      </w:r>
      <w:r w:rsidRPr="0009557E">
        <w:t>;32(2):136.</w:t>
      </w:r>
    </w:p>
    <w:p w14:paraId="2164BB26" w14:textId="77777777" w:rsidR="0009557E" w:rsidRPr="0009557E" w:rsidRDefault="0009557E" w:rsidP="0009557E">
      <w:pPr>
        <w:pStyle w:val="EndNoteBibliography"/>
        <w:spacing w:after="0"/>
      </w:pPr>
      <w:r w:rsidRPr="0009557E">
        <w:t>19.</w:t>
      </w:r>
      <w:r w:rsidRPr="0009557E">
        <w:tab/>
        <w:t xml:space="preserve">Taher AT, Weatherall DJ, Cappellini MD (2018). Thalassaemia. </w:t>
      </w:r>
      <w:r w:rsidRPr="0009557E">
        <w:rPr>
          <w:i/>
        </w:rPr>
        <w:t>The Lancet</w:t>
      </w:r>
      <w:r w:rsidRPr="0009557E">
        <w:t>;391(10116):155-67.</w:t>
      </w:r>
    </w:p>
    <w:p w14:paraId="47FB338B" w14:textId="77777777" w:rsidR="0009557E" w:rsidRPr="0009557E" w:rsidRDefault="0009557E" w:rsidP="0009557E">
      <w:pPr>
        <w:pStyle w:val="EndNoteBibliography"/>
        <w:spacing w:after="0"/>
      </w:pPr>
      <w:r w:rsidRPr="0009557E">
        <w:t>20.</w:t>
      </w:r>
      <w:r w:rsidRPr="0009557E">
        <w:tab/>
        <w:t>Taher AT, Weatherall DJ, Cappellini MDJTL (2018). Thalassaemia.391(10116):155-67.</w:t>
      </w:r>
    </w:p>
    <w:p w14:paraId="215E0189" w14:textId="77777777" w:rsidR="0009557E" w:rsidRPr="0009557E" w:rsidRDefault="0009557E" w:rsidP="0009557E">
      <w:pPr>
        <w:pStyle w:val="EndNoteBibliography"/>
        <w:spacing w:after="0"/>
      </w:pPr>
      <w:r w:rsidRPr="0009557E">
        <w:t>21.</w:t>
      </w:r>
      <w:r w:rsidRPr="0009557E">
        <w:tab/>
        <w:t xml:space="preserve">Farashi S, Harteveld CL (2018). Molecular basis of α-thalassemia. </w:t>
      </w:r>
      <w:r w:rsidRPr="0009557E">
        <w:rPr>
          <w:i/>
        </w:rPr>
        <w:t>Blood Cells, Molecules, and Diseases</w:t>
      </w:r>
      <w:r w:rsidRPr="0009557E">
        <w:t>;70:43-53.</w:t>
      </w:r>
    </w:p>
    <w:p w14:paraId="24334ECA" w14:textId="77777777" w:rsidR="0009557E" w:rsidRPr="0009557E" w:rsidRDefault="0009557E" w:rsidP="0009557E">
      <w:pPr>
        <w:pStyle w:val="EndNoteBibliography"/>
        <w:spacing w:after="0"/>
      </w:pPr>
      <w:r w:rsidRPr="0009557E">
        <w:t>22.</w:t>
      </w:r>
      <w:r w:rsidRPr="0009557E">
        <w:tab/>
        <w:t xml:space="preserve">Origa R, Cazzola M, Mereu E, Danjou F, Barella S, Giagu N, et al. (2015). Differences in the erythropoiesis-hepcidin-iron store axis between hemoglobin H disease and β-thalassemia intermedia. </w:t>
      </w:r>
      <w:r w:rsidRPr="0009557E">
        <w:rPr>
          <w:i/>
        </w:rPr>
        <w:t>Haematologica</w:t>
      </w:r>
      <w:r w:rsidRPr="0009557E">
        <w:t>;100(5):e169.</w:t>
      </w:r>
    </w:p>
    <w:p w14:paraId="2CACC1C4" w14:textId="77777777" w:rsidR="0009557E" w:rsidRPr="0009557E" w:rsidRDefault="0009557E" w:rsidP="0009557E">
      <w:pPr>
        <w:pStyle w:val="EndNoteBibliography"/>
        <w:spacing w:after="0"/>
      </w:pPr>
      <w:r w:rsidRPr="0009557E">
        <w:t>23.</w:t>
      </w:r>
      <w:r w:rsidRPr="0009557E">
        <w:tab/>
        <w:t xml:space="preserve">Tanno T, Bhanu NV, Oneal PA, Goh S-H, Staker P, Lee YT, et al. (2007). High levels of GDF15 in thalassemia suppress expression of the iron regulatory protein hepcidin. </w:t>
      </w:r>
      <w:r w:rsidRPr="0009557E">
        <w:rPr>
          <w:i/>
        </w:rPr>
        <w:t>Nature medicine</w:t>
      </w:r>
      <w:r w:rsidRPr="0009557E">
        <w:t>;13(9):1096-101.</w:t>
      </w:r>
    </w:p>
    <w:p w14:paraId="58C28F46" w14:textId="77777777" w:rsidR="0009557E" w:rsidRPr="0009557E" w:rsidRDefault="0009557E" w:rsidP="0009557E">
      <w:pPr>
        <w:pStyle w:val="EndNoteBibliography"/>
        <w:spacing w:after="0"/>
      </w:pPr>
      <w:r w:rsidRPr="0009557E">
        <w:t>24.</w:t>
      </w:r>
      <w:r w:rsidRPr="0009557E">
        <w:tab/>
        <w:t xml:space="preserve">Hirsch RE, Sibmooh N, Fucharoen S, Friedman JM (2017). HbE/β-thalassemia and oxidative stress: the key to pathophysiological mechanisms and novel therapeutics. </w:t>
      </w:r>
      <w:r w:rsidRPr="0009557E">
        <w:rPr>
          <w:i/>
        </w:rPr>
        <w:t>Antioxid Redox Signal</w:t>
      </w:r>
      <w:r w:rsidRPr="0009557E">
        <w:t>;26(14):794-813.</w:t>
      </w:r>
    </w:p>
    <w:p w14:paraId="40E4679E" w14:textId="77777777" w:rsidR="0009557E" w:rsidRPr="0009557E" w:rsidRDefault="0009557E" w:rsidP="0009557E">
      <w:pPr>
        <w:pStyle w:val="EndNoteBibliography"/>
        <w:spacing w:after="0"/>
      </w:pPr>
      <w:r w:rsidRPr="0009557E">
        <w:t>25.</w:t>
      </w:r>
      <w:r w:rsidRPr="0009557E">
        <w:tab/>
        <w:t xml:space="preserve">Kolnagou A, Michaelides Y, Kontoghiorghe CN, Kontoghiorghes GJ (2013). The importance of spleen, spleen iron, and splenectomy for determining total body iron load, ferrikinetics, and iron toxicity in thalassemia major patients. </w:t>
      </w:r>
      <w:r w:rsidRPr="0009557E">
        <w:rPr>
          <w:i/>
        </w:rPr>
        <w:t>Toxicol Mech Methods</w:t>
      </w:r>
      <w:r w:rsidRPr="0009557E">
        <w:t>;23(1):34-41.</w:t>
      </w:r>
    </w:p>
    <w:p w14:paraId="39254C6D" w14:textId="77777777" w:rsidR="0009557E" w:rsidRPr="0009557E" w:rsidRDefault="0009557E" w:rsidP="0009557E">
      <w:pPr>
        <w:pStyle w:val="EndNoteBibliography"/>
        <w:spacing w:after="0"/>
      </w:pPr>
      <w:r w:rsidRPr="0009557E">
        <w:t>26.</w:t>
      </w:r>
      <w:r w:rsidRPr="0009557E">
        <w:tab/>
        <w:t xml:space="preserve">Ammar SA, Elsayh KI, Zahran AM, Embaby M (2014). Splenectomy for patients with β-thalassemia major: long-term outcomes. </w:t>
      </w:r>
      <w:r w:rsidRPr="0009557E">
        <w:rPr>
          <w:i/>
        </w:rPr>
        <w:t>Egypt J Surg</w:t>
      </w:r>
      <w:r w:rsidRPr="0009557E">
        <w:t>;33(4).</w:t>
      </w:r>
    </w:p>
    <w:p w14:paraId="748C7209" w14:textId="77777777" w:rsidR="0009557E" w:rsidRPr="0009557E" w:rsidRDefault="0009557E" w:rsidP="0009557E">
      <w:pPr>
        <w:pStyle w:val="EndNoteBibliography"/>
        <w:spacing w:after="0"/>
      </w:pPr>
      <w:r w:rsidRPr="0009557E">
        <w:t>27.</w:t>
      </w:r>
      <w:r w:rsidRPr="0009557E">
        <w:tab/>
        <w:t xml:space="preserve">Advani R, Rubin E, Mohandas N, Schrier S (1992). Oxidative red blood cell membrane injury in the pathophysiology of severe mouse beta-thalassemia. </w:t>
      </w:r>
      <w:r w:rsidRPr="0009557E">
        <w:rPr>
          <w:i/>
        </w:rPr>
        <w:t>Blood</w:t>
      </w:r>
      <w:r w:rsidRPr="0009557E">
        <w:t>.</w:t>
      </w:r>
    </w:p>
    <w:p w14:paraId="5059D1F2" w14:textId="77777777" w:rsidR="0009557E" w:rsidRPr="0009557E" w:rsidRDefault="0009557E" w:rsidP="0009557E">
      <w:pPr>
        <w:pStyle w:val="EndNoteBibliography"/>
      </w:pPr>
      <w:r w:rsidRPr="0009557E">
        <w:t>28.</w:t>
      </w:r>
      <w:r w:rsidRPr="0009557E">
        <w:tab/>
        <w:t xml:space="preserve">Basu S, Rahaman M, Dolai TK, Shukla PC, Chakravorty N (2023). Understanding the intricacies of iron overload associated with β-thalassemia: a comprehensive review. </w:t>
      </w:r>
      <w:r w:rsidRPr="0009557E">
        <w:rPr>
          <w:i/>
        </w:rPr>
        <w:t>Thalass Rep</w:t>
      </w:r>
      <w:r w:rsidRPr="0009557E">
        <w:t>;13(3):179-94.</w:t>
      </w:r>
    </w:p>
    <w:p w14:paraId="0D3228AE" w14:textId="363A1D0E" w:rsidR="00A611E2" w:rsidRDefault="0090310B" w:rsidP="001D7C46">
      <w:pPr>
        <w:tabs>
          <w:tab w:val="left" w:pos="750"/>
        </w:tabs>
        <w:spacing w:line="240" w:lineRule="auto"/>
        <w:jc w:val="both"/>
        <w:rPr>
          <w:rFonts w:asciiTheme="majorBidi" w:hAnsiTheme="majorBidi" w:cstheme="majorBidi"/>
          <w:sz w:val="24"/>
          <w:szCs w:val="24"/>
          <w:lang w:bidi="fa-IR"/>
        </w:rPr>
      </w:pPr>
      <w:r w:rsidRPr="000F1953">
        <w:rPr>
          <w:rFonts w:asciiTheme="majorBidi" w:hAnsiTheme="majorBidi" w:cstheme="majorBidi"/>
          <w:sz w:val="24"/>
          <w:szCs w:val="24"/>
          <w:lang w:bidi="fa-IR"/>
        </w:rPr>
        <w:fldChar w:fldCharType="end"/>
      </w:r>
      <w:bookmarkStart w:id="0" w:name="_GoBack"/>
      <w:bookmarkEnd w:id="0"/>
    </w:p>
    <w:p w14:paraId="50458759" w14:textId="77777777" w:rsidR="00A611E2" w:rsidRPr="000F1953" w:rsidRDefault="00A611E2" w:rsidP="00A611E2">
      <w:pPr>
        <w:pStyle w:val="Caption"/>
        <w:keepNext/>
        <w:spacing w:after="0"/>
        <w:ind w:left="90" w:right="-630"/>
        <w:jc w:val="both"/>
        <w:rPr>
          <w:rFonts w:asciiTheme="majorBidi" w:hAnsiTheme="majorBidi" w:cstheme="majorBidi"/>
          <w:i w:val="0"/>
          <w:iCs w:val="0"/>
          <w:color w:val="000000" w:themeColor="text1"/>
          <w:sz w:val="20"/>
          <w:szCs w:val="20"/>
          <w:rtl/>
        </w:rPr>
      </w:pPr>
      <w:r w:rsidRPr="000F1953">
        <w:rPr>
          <w:rFonts w:asciiTheme="majorBidi" w:hAnsiTheme="majorBidi" w:cstheme="majorBidi"/>
          <w:i w:val="0"/>
          <w:iCs w:val="0"/>
          <w:color w:val="000000" w:themeColor="text1"/>
          <w:sz w:val="20"/>
          <w:szCs w:val="20"/>
        </w:rPr>
        <w:t>Table 1. Primers used for PCR amplification of the HBA1 and HBA2 genes prior to Sanger sequencing</w:t>
      </w:r>
    </w:p>
    <w:p w14:paraId="110F4C96" w14:textId="1C78F64A" w:rsidR="00A611E2" w:rsidRDefault="00A611E2" w:rsidP="00C2358C">
      <w:pPr>
        <w:tabs>
          <w:tab w:val="left" w:pos="750"/>
        </w:tabs>
        <w:spacing w:line="240" w:lineRule="auto"/>
        <w:jc w:val="both"/>
        <w:rPr>
          <w:rFonts w:asciiTheme="majorBidi" w:hAnsiTheme="majorBidi" w:cstheme="majorBidi"/>
          <w:sz w:val="24"/>
          <w:szCs w:val="24"/>
          <w:lang w:bidi="fa-IR"/>
        </w:rPr>
      </w:pPr>
    </w:p>
    <w:p w14:paraId="678D414F" w14:textId="77777777" w:rsidR="00A611E2" w:rsidRDefault="00A611E2" w:rsidP="00C2358C">
      <w:pPr>
        <w:tabs>
          <w:tab w:val="left" w:pos="750"/>
        </w:tabs>
        <w:spacing w:line="240" w:lineRule="auto"/>
        <w:jc w:val="both"/>
        <w:rPr>
          <w:rFonts w:asciiTheme="majorBidi" w:hAnsiTheme="majorBidi" w:cstheme="majorBidi"/>
          <w:sz w:val="24"/>
          <w:szCs w:val="24"/>
          <w:lang w:bidi="fa-IR"/>
        </w:rPr>
      </w:pPr>
    </w:p>
    <w:p w14:paraId="5E922A1D" w14:textId="77777777" w:rsidR="00A611E2" w:rsidRDefault="00A611E2" w:rsidP="00C2358C">
      <w:pPr>
        <w:tabs>
          <w:tab w:val="left" w:pos="750"/>
        </w:tabs>
        <w:spacing w:line="240" w:lineRule="auto"/>
        <w:jc w:val="both"/>
        <w:rPr>
          <w:rFonts w:asciiTheme="majorBidi" w:hAnsiTheme="majorBidi" w:cstheme="majorBidi"/>
          <w:sz w:val="24"/>
          <w:szCs w:val="24"/>
          <w:lang w:bidi="fa-IR"/>
        </w:rPr>
      </w:pPr>
    </w:p>
    <w:p w14:paraId="4A0DBD32" w14:textId="77777777" w:rsidR="000E06B4" w:rsidRPr="000F1953" w:rsidRDefault="000E06B4" w:rsidP="00C2358C">
      <w:pPr>
        <w:tabs>
          <w:tab w:val="left" w:pos="750"/>
        </w:tabs>
        <w:spacing w:line="240" w:lineRule="auto"/>
        <w:jc w:val="both"/>
        <w:rPr>
          <w:rFonts w:asciiTheme="majorBidi" w:hAnsiTheme="majorBidi" w:cstheme="majorBidi"/>
          <w:sz w:val="24"/>
          <w:szCs w:val="24"/>
          <w:lang w:bidi="fa-IR"/>
        </w:rPr>
      </w:pPr>
    </w:p>
    <w:p w14:paraId="67DC731C" w14:textId="0F38E90B" w:rsidR="00332984" w:rsidRPr="000F1953" w:rsidRDefault="00332984" w:rsidP="00C2358C">
      <w:pPr>
        <w:spacing w:line="240" w:lineRule="auto"/>
        <w:rPr>
          <w:rFonts w:asciiTheme="majorBidi" w:hAnsiTheme="majorBidi" w:cstheme="majorBidi"/>
          <w:sz w:val="24"/>
          <w:szCs w:val="24"/>
          <w:rtl/>
          <w:lang w:bidi="fa-IR"/>
        </w:rPr>
      </w:pPr>
    </w:p>
    <w:p w14:paraId="155105BE" w14:textId="60560D15" w:rsidR="00332984" w:rsidRPr="000F1953" w:rsidRDefault="00332984" w:rsidP="00C2358C">
      <w:pPr>
        <w:spacing w:line="240" w:lineRule="auto"/>
        <w:rPr>
          <w:rFonts w:asciiTheme="majorBidi" w:hAnsiTheme="majorBidi" w:cstheme="majorBidi"/>
          <w:sz w:val="24"/>
          <w:szCs w:val="24"/>
          <w:rtl/>
          <w:lang w:bidi="fa-IR"/>
        </w:rPr>
      </w:pPr>
    </w:p>
    <w:p w14:paraId="6040CE45" w14:textId="77777777" w:rsidR="00332984" w:rsidRPr="000F1953" w:rsidRDefault="00332984" w:rsidP="00C2358C">
      <w:pPr>
        <w:spacing w:line="240" w:lineRule="auto"/>
        <w:rPr>
          <w:rFonts w:asciiTheme="majorBidi" w:hAnsiTheme="majorBidi" w:cstheme="majorBidi"/>
          <w:sz w:val="24"/>
          <w:szCs w:val="24"/>
          <w:rtl/>
          <w:lang w:bidi="fa-IR"/>
        </w:rPr>
      </w:pPr>
    </w:p>
    <w:p w14:paraId="3E1133FE" w14:textId="77777777" w:rsidR="00332984" w:rsidRPr="000F1953" w:rsidRDefault="00332984" w:rsidP="00C2358C">
      <w:pPr>
        <w:spacing w:line="240" w:lineRule="auto"/>
        <w:rPr>
          <w:rFonts w:asciiTheme="majorBidi" w:hAnsiTheme="majorBidi" w:cstheme="majorBidi"/>
          <w:sz w:val="24"/>
          <w:szCs w:val="24"/>
          <w:rtl/>
          <w:lang w:bidi="fa-IR"/>
        </w:rPr>
      </w:pPr>
    </w:p>
    <w:tbl>
      <w:tblPr>
        <w:tblStyle w:val="TableGrid"/>
        <w:tblpPr w:leftFromText="180" w:rightFromText="180" w:vertAnchor="text" w:horzAnchor="margin" w:tblpXSpec="center" w:tblpY="-3002"/>
        <w:bidiVisual/>
        <w:tblW w:w="9265" w:type="dxa"/>
        <w:tblLook w:val="04A0" w:firstRow="1" w:lastRow="0" w:firstColumn="1" w:lastColumn="0" w:noHBand="0" w:noVBand="1"/>
      </w:tblPr>
      <w:tblGrid>
        <w:gridCol w:w="1620"/>
        <w:gridCol w:w="1530"/>
        <w:gridCol w:w="3672"/>
        <w:gridCol w:w="1537"/>
        <w:gridCol w:w="906"/>
      </w:tblGrid>
      <w:tr w:rsidR="00C221FC" w:rsidRPr="000F1953" w14:paraId="7E722935" w14:textId="77777777" w:rsidTr="000B15B0">
        <w:trPr>
          <w:trHeight w:val="254"/>
        </w:trPr>
        <w:tc>
          <w:tcPr>
            <w:tcW w:w="1620" w:type="dxa"/>
            <w:vAlign w:val="center"/>
          </w:tcPr>
          <w:p w14:paraId="5B009E4B" w14:textId="77777777" w:rsidR="00C221FC" w:rsidRPr="000F1953" w:rsidRDefault="00C221FC" w:rsidP="00C2358C">
            <w:pPr>
              <w:jc w:val="center"/>
              <w:rPr>
                <w:rFonts w:asciiTheme="majorBidi" w:eastAsia="Times New Roman" w:hAnsiTheme="majorBidi" w:cstheme="majorBidi"/>
                <w:color w:val="000000"/>
                <w:sz w:val="20"/>
                <w:szCs w:val="20"/>
                <w:rtl/>
                <w:lang w:bidi="fa-IR"/>
              </w:rPr>
            </w:pPr>
            <w:r w:rsidRPr="000F1953">
              <w:rPr>
                <w:rFonts w:asciiTheme="majorBidi" w:eastAsia="Times New Roman" w:hAnsiTheme="majorBidi" w:cstheme="majorBidi"/>
                <w:color w:val="000000"/>
                <w:sz w:val="20"/>
                <w:szCs w:val="20"/>
                <w:lang w:bidi="fa-IR"/>
              </w:rPr>
              <w:t>Type of PCR</w:t>
            </w:r>
          </w:p>
        </w:tc>
        <w:tc>
          <w:tcPr>
            <w:tcW w:w="1530" w:type="dxa"/>
            <w:vAlign w:val="center"/>
            <w:hideMark/>
          </w:tcPr>
          <w:p w14:paraId="41C587D6" w14:textId="77777777" w:rsidR="00C221FC" w:rsidRPr="000F1953" w:rsidRDefault="00C221FC" w:rsidP="00C2358C">
            <w:pPr>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Product Length</w:t>
            </w:r>
          </w:p>
        </w:tc>
        <w:tc>
          <w:tcPr>
            <w:tcW w:w="3672" w:type="dxa"/>
            <w:vAlign w:val="center"/>
            <w:hideMark/>
          </w:tcPr>
          <w:p w14:paraId="51F90424" w14:textId="77777777" w:rsidR="00C221FC" w:rsidRPr="000F1953" w:rsidRDefault="00C221FC" w:rsidP="00C2358C">
            <w:pPr>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Primer Sequence</w:t>
            </w:r>
          </w:p>
        </w:tc>
        <w:tc>
          <w:tcPr>
            <w:tcW w:w="1537" w:type="dxa"/>
            <w:vAlign w:val="center"/>
            <w:hideMark/>
          </w:tcPr>
          <w:p w14:paraId="5920CC64" w14:textId="77777777" w:rsidR="00C221FC" w:rsidRPr="000F1953" w:rsidRDefault="00C221FC" w:rsidP="00C2358C">
            <w:pPr>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Primer Name</w:t>
            </w:r>
          </w:p>
        </w:tc>
        <w:tc>
          <w:tcPr>
            <w:tcW w:w="906" w:type="dxa"/>
            <w:vAlign w:val="center"/>
            <w:hideMark/>
          </w:tcPr>
          <w:p w14:paraId="5A4E0712" w14:textId="6B47C909" w:rsidR="00C221FC" w:rsidRPr="000F1953" w:rsidRDefault="00C221FC" w:rsidP="00C2358C">
            <w:pPr>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26282A"/>
                <w:sz w:val="20"/>
                <w:szCs w:val="20"/>
              </w:rPr>
              <w:t>Gene</w:t>
            </w:r>
          </w:p>
        </w:tc>
      </w:tr>
      <w:tr w:rsidR="00C221FC" w:rsidRPr="000F1953" w14:paraId="19F215AF" w14:textId="77777777" w:rsidTr="000B15B0">
        <w:trPr>
          <w:trHeight w:val="400"/>
        </w:trPr>
        <w:tc>
          <w:tcPr>
            <w:tcW w:w="1620" w:type="dxa"/>
            <w:vAlign w:val="center"/>
          </w:tcPr>
          <w:p w14:paraId="7CA3D721" w14:textId="77777777" w:rsidR="00C221FC" w:rsidRPr="000F1953" w:rsidRDefault="00C221FC" w:rsidP="00C2358C">
            <w:pPr>
              <w:spacing w:after="120"/>
              <w:jc w:val="center"/>
              <w:rPr>
                <w:rFonts w:asciiTheme="majorBidi" w:eastAsia="Times New Roman" w:hAnsiTheme="majorBidi" w:cstheme="majorBidi"/>
                <w:color w:val="000000"/>
                <w:sz w:val="20"/>
                <w:szCs w:val="20"/>
              </w:rPr>
            </w:pPr>
            <w:r w:rsidRPr="000F1953">
              <w:rPr>
                <w:rFonts w:asciiTheme="majorBidi" w:eastAsia="Times New Roman" w:hAnsiTheme="majorBidi" w:cstheme="majorBidi"/>
                <w:color w:val="000000"/>
                <w:sz w:val="20"/>
                <w:szCs w:val="20"/>
              </w:rPr>
              <w:t>Sequencing-PCR</w:t>
            </w:r>
          </w:p>
        </w:tc>
        <w:tc>
          <w:tcPr>
            <w:tcW w:w="1530" w:type="dxa"/>
            <w:vAlign w:val="center"/>
            <w:hideMark/>
          </w:tcPr>
          <w:p w14:paraId="3480F703"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1001 bp</w:t>
            </w:r>
          </w:p>
        </w:tc>
        <w:tc>
          <w:tcPr>
            <w:tcW w:w="3672" w:type="dxa"/>
            <w:vAlign w:val="center"/>
            <w:hideMark/>
          </w:tcPr>
          <w:p w14:paraId="529108D4" w14:textId="77777777" w:rsidR="00C221FC" w:rsidRPr="000F1953" w:rsidRDefault="00C221FC" w:rsidP="00C2358C">
            <w:pPr>
              <w:spacing w:after="120"/>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GCT CCG CGC CAG CCA ATG AG</w:t>
            </w:r>
          </w:p>
        </w:tc>
        <w:tc>
          <w:tcPr>
            <w:tcW w:w="1537" w:type="dxa"/>
            <w:vAlign w:val="center"/>
            <w:hideMark/>
          </w:tcPr>
          <w:p w14:paraId="210C8595"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Alpha Seq1-F</w:t>
            </w:r>
          </w:p>
        </w:tc>
        <w:tc>
          <w:tcPr>
            <w:tcW w:w="906" w:type="dxa"/>
            <w:vMerge w:val="restart"/>
            <w:vAlign w:val="center"/>
            <w:hideMark/>
          </w:tcPr>
          <w:p w14:paraId="786D736D"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i/>
                <w:iCs/>
                <w:color w:val="000000"/>
                <w:sz w:val="20"/>
                <w:szCs w:val="20"/>
              </w:rPr>
              <w:t>HBA1</w:t>
            </w:r>
          </w:p>
        </w:tc>
      </w:tr>
      <w:tr w:rsidR="00C221FC" w:rsidRPr="000F1953" w14:paraId="1844BA13" w14:textId="77777777" w:rsidTr="000B15B0">
        <w:trPr>
          <w:trHeight w:val="390"/>
        </w:trPr>
        <w:tc>
          <w:tcPr>
            <w:tcW w:w="1620" w:type="dxa"/>
            <w:vAlign w:val="center"/>
          </w:tcPr>
          <w:p w14:paraId="7736A26D" w14:textId="77777777" w:rsidR="00C221FC" w:rsidRPr="000F1953" w:rsidRDefault="00C221FC" w:rsidP="00C2358C">
            <w:pPr>
              <w:spacing w:after="120"/>
              <w:jc w:val="center"/>
              <w:rPr>
                <w:rFonts w:asciiTheme="majorBidi" w:eastAsia="Times New Roman" w:hAnsiTheme="majorBidi" w:cstheme="majorBidi"/>
                <w:color w:val="000000"/>
                <w:sz w:val="20"/>
                <w:szCs w:val="20"/>
              </w:rPr>
            </w:pPr>
            <w:r w:rsidRPr="000F1953">
              <w:rPr>
                <w:rFonts w:asciiTheme="majorBidi" w:eastAsia="Times New Roman" w:hAnsiTheme="majorBidi" w:cstheme="majorBidi"/>
                <w:color w:val="000000"/>
                <w:sz w:val="20"/>
                <w:szCs w:val="20"/>
              </w:rPr>
              <w:t>Sequencing-PCR</w:t>
            </w:r>
          </w:p>
        </w:tc>
        <w:tc>
          <w:tcPr>
            <w:tcW w:w="1530" w:type="dxa"/>
            <w:vAlign w:val="center"/>
            <w:hideMark/>
          </w:tcPr>
          <w:p w14:paraId="06023739"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1001 bp</w:t>
            </w:r>
          </w:p>
        </w:tc>
        <w:tc>
          <w:tcPr>
            <w:tcW w:w="3672" w:type="dxa"/>
            <w:vAlign w:val="center"/>
            <w:hideMark/>
          </w:tcPr>
          <w:p w14:paraId="1E0D307E" w14:textId="77777777" w:rsidR="00C221FC" w:rsidRPr="000F1953" w:rsidRDefault="00C221FC" w:rsidP="00C2358C">
            <w:pPr>
              <w:spacing w:after="120"/>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CAT GTGTGT CCC AGC TGC TGT C</w:t>
            </w:r>
          </w:p>
        </w:tc>
        <w:tc>
          <w:tcPr>
            <w:tcW w:w="1537" w:type="dxa"/>
            <w:vAlign w:val="center"/>
            <w:hideMark/>
          </w:tcPr>
          <w:p w14:paraId="7B0A20BF"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Alpha Seq1-R</w:t>
            </w:r>
          </w:p>
        </w:tc>
        <w:tc>
          <w:tcPr>
            <w:tcW w:w="906" w:type="dxa"/>
            <w:vMerge/>
            <w:vAlign w:val="center"/>
            <w:hideMark/>
          </w:tcPr>
          <w:p w14:paraId="4E972A75" w14:textId="77777777" w:rsidR="00C221FC" w:rsidRPr="000F1953" w:rsidRDefault="00C221FC" w:rsidP="00C2358C">
            <w:pPr>
              <w:bidi/>
              <w:jc w:val="center"/>
              <w:rPr>
                <w:rFonts w:asciiTheme="majorBidi" w:eastAsia="Times New Roman" w:hAnsiTheme="majorBidi" w:cstheme="majorBidi"/>
                <w:color w:val="26282A"/>
                <w:sz w:val="20"/>
                <w:szCs w:val="20"/>
              </w:rPr>
            </w:pPr>
          </w:p>
        </w:tc>
      </w:tr>
      <w:tr w:rsidR="00C221FC" w:rsidRPr="000F1953" w14:paraId="3F4841A2" w14:textId="77777777" w:rsidTr="000B15B0">
        <w:trPr>
          <w:trHeight w:val="390"/>
        </w:trPr>
        <w:tc>
          <w:tcPr>
            <w:tcW w:w="1620" w:type="dxa"/>
            <w:vAlign w:val="center"/>
          </w:tcPr>
          <w:p w14:paraId="1FA33023" w14:textId="77777777" w:rsidR="00C221FC" w:rsidRPr="000F1953" w:rsidRDefault="00C221FC" w:rsidP="00C2358C">
            <w:pPr>
              <w:spacing w:after="120"/>
              <w:jc w:val="center"/>
              <w:rPr>
                <w:rFonts w:asciiTheme="majorBidi" w:eastAsia="Times New Roman" w:hAnsiTheme="majorBidi" w:cstheme="majorBidi"/>
                <w:color w:val="000000"/>
                <w:sz w:val="20"/>
                <w:szCs w:val="20"/>
              </w:rPr>
            </w:pPr>
            <w:r w:rsidRPr="000F1953">
              <w:rPr>
                <w:rFonts w:asciiTheme="majorBidi" w:eastAsia="Times New Roman" w:hAnsiTheme="majorBidi" w:cstheme="majorBidi"/>
                <w:color w:val="000000"/>
                <w:sz w:val="20"/>
                <w:szCs w:val="20"/>
              </w:rPr>
              <w:t>Sequencing-PCR</w:t>
            </w:r>
          </w:p>
        </w:tc>
        <w:tc>
          <w:tcPr>
            <w:tcW w:w="1530" w:type="dxa"/>
            <w:vAlign w:val="center"/>
            <w:hideMark/>
          </w:tcPr>
          <w:p w14:paraId="527A8242"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999 bp</w:t>
            </w:r>
          </w:p>
        </w:tc>
        <w:tc>
          <w:tcPr>
            <w:tcW w:w="3672" w:type="dxa"/>
            <w:vAlign w:val="center"/>
            <w:hideMark/>
          </w:tcPr>
          <w:p w14:paraId="40E40C1F" w14:textId="77777777" w:rsidR="00C221FC" w:rsidRPr="000F1953" w:rsidRDefault="00C221FC" w:rsidP="00C2358C">
            <w:pPr>
              <w:spacing w:after="120"/>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GCT CCG CGC CAG CCA ATG AG</w:t>
            </w:r>
          </w:p>
        </w:tc>
        <w:tc>
          <w:tcPr>
            <w:tcW w:w="1537" w:type="dxa"/>
            <w:vAlign w:val="center"/>
            <w:hideMark/>
          </w:tcPr>
          <w:p w14:paraId="07B1DB8E"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Alpha 2-F</w:t>
            </w:r>
          </w:p>
        </w:tc>
        <w:tc>
          <w:tcPr>
            <w:tcW w:w="906" w:type="dxa"/>
            <w:vMerge w:val="restart"/>
            <w:vAlign w:val="center"/>
            <w:hideMark/>
          </w:tcPr>
          <w:p w14:paraId="4D408557"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i/>
                <w:iCs/>
                <w:color w:val="000000"/>
                <w:sz w:val="20"/>
                <w:szCs w:val="20"/>
              </w:rPr>
              <w:t>HBA2</w:t>
            </w:r>
          </w:p>
        </w:tc>
      </w:tr>
      <w:tr w:rsidR="00C221FC" w:rsidRPr="000F1953" w14:paraId="39FAE290" w14:textId="77777777" w:rsidTr="000B15B0">
        <w:trPr>
          <w:trHeight w:val="322"/>
        </w:trPr>
        <w:tc>
          <w:tcPr>
            <w:tcW w:w="1620" w:type="dxa"/>
            <w:vAlign w:val="center"/>
          </w:tcPr>
          <w:p w14:paraId="520AB453" w14:textId="77777777" w:rsidR="00C221FC" w:rsidRPr="000F1953" w:rsidRDefault="00C221FC" w:rsidP="00C2358C">
            <w:pPr>
              <w:spacing w:after="120"/>
              <w:jc w:val="center"/>
              <w:rPr>
                <w:rFonts w:asciiTheme="majorBidi" w:eastAsia="Times New Roman" w:hAnsiTheme="majorBidi" w:cstheme="majorBidi"/>
                <w:color w:val="000000"/>
                <w:sz w:val="20"/>
                <w:szCs w:val="20"/>
              </w:rPr>
            </w:pPr>
            <w:r w:rsidRPr="000F1953">
              <w:rPr>
                <w:rFonts w:asciiTheme="majorBidi" w:eastAsia="Times New Roman" w:hAnsiTheme="majorBidi" w:cstheme="majorBidi"/>
                <w:color w:val="000000"/>
                <w:sz w:val="20"/>
                <w:szCs w:val="20"/>
              </w:rPr>
              <w:t>Sequencing-PCR</w:t>
            </w:r>
          </w:p>
        </w:tc>
        <w:tc>
          <w:tcPr>
            <w:tcW w:w="1530" w:type="dxa"/>
            <w:vAlign w:val="center"/>
            <w:hideMark/>
          </w:tcPr>
          <w:p w14:paraId="7FB4B123"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999 bp</w:t>
            </w:r>
          </w:p>
        </w:tc>
        <w:tc>
          <w:tcPr>
            <w:tcW w:w="3672" w:type="dxa"/>
            <w:vAlign w:val="center"/>
            <w:hideMark/>
          </w:tcPr>
          <w:p w14:paraId="51FC7583" w14:textId="77777777" w:rsidR="00C221FC" w:rsidRPr="000F1953" w:rsidRDefault="00C221FC" w:rsidP="00C2358C">
            <w:pPr>
              <w:spacing w:after="120"/>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GAG AGG TCC TTG GTCTGA GAC AG</w:t>
            </w:r>
          </w:p>
        </w:tc>
        <w:tc>
          <w:tcPr>
            <w:tcW w:w="1537" w:type="dxa"/>
            <w:vAlign w:val="center"/>
            <w:hideMark/>
          </w:tcPr>
          <w:p w14:paraId="5D350EB6" w14:textId="77777777" w:rsidR="00C221FC" w:rsidRPr="000F1953" w:rsidRDefault="00C221FC" w:rsidP="00C2358C">
            <w:pPr>
              <w:spacing w:after="120"/>
              <w:jc w:val="center"/>
              <w:rPr>
                <w:rFonts w:asciiTheme="majorBidi" w:eastAsia="Times New Roman" w:hAnsiTheme="majorBidi" w:cstheme="majorBidi"/>
                <w:color w:val="26282A"/>
                <w:sz w:val="20"/>
                <w:szCs w:val="20"/>
              </w:rPr>
            </w:pPr>
            <w:r w:rsidRPr="000F1953">
              <w:rPr>
                <w:rFonts w:asciiTheme="majorBidi" w:eastAsia="Times New Roman" w:hAnsiTheme="majorBidi" w:cstheme="majorBidi"/>
                <w:color w:val="000000"/>
                <w:sz w:val="20"/>
                <w:szCs w:val="20"/>
              </w:rPr>
              <w:t>Alpha 2-R</w:t>
            </w:r>
          </w:p>
        </w:tc>
        <w:tc>
          <w:tcPr>
            <w:tcW w:w="906" w:type="dxa"/>
            <w:vMerge/>
            <w:vAlign w:val="center"/>
            <w:hideMark/>
          </w:tcPr>
          <w:p w14:paraId="57823A13" w14:textId="77777777" w:rsidR="00C221FC" w:rsidRPr="000F1953" w:rsidRDefault="00C221FC" w:rsidP="00C2358C">
            <w:pPr>
              <w:bidi/>
              <w:jc w:val="center"/>
              <w:rPr>
                <w:rFonts w:asciiTheme="majorBidi" w:eastAsia="Times New Roman" w:hAnsiTheme="majorBidi" w:cstheme="majorBidi"/>
                <w:color w:val="26282A"/>
                <w:sz w:val="20"/>
                <w:szCs w:val="20"/>
              </w:rPr>
            </w:pPr>
          </w:p>
        </w:tc>
      </w:tr>
    </w:tbl>
    <w:p w14:paraId="177E4F6E" w14:textId="001EF106" w:rsidR="00332984" w:rsidRPr="000F1953" w:rsidRDefault="00332984" w:rsidP="00C2358C">
      <w:pPr>
        <w:spacing w:line="240" w:lineRule="auto"/>
        <w:rPr>
          <w:rFonts w:asciiTheme="majorBidi" w:hAnsiTheme="majorBidi" w:cstheme="majorBidi"/>
          <w:sz w:val="24"/>
          <w:szCs w:val="24"/>
          <w:rtl/>
          <w:lang w:bidi="fa-IR"/>
        </w:rPr>
        <w:sectPr w:rsidR="00332984" w:rsidRPr="000F1953" w:rsidSect="00CE5D94">
          <w:footerReference w:type="default" r:id="rId8"/>
          <w:pgSz w:w="12240" w:h="15840"/>
          <w:pgMar w:top="1440" w:right="1440" w:bottom="1440" w:left="1440" w:header="720" w:footer="720" w:gutter="0"/>
          <w:lnNumType w:countBy="1" w:restart="continuous"/>
          <w:cols w:space="720"/>
          <w:docGrid w:linePitch="360"/>
        </w:sectPr>
      </w:pPr>
    </w:p>
    <w:p w14:paraId="32F48C1B" w14:textId="1C4E73B1" w:rsidR="0090310B" w:rsidRPr="000F1953" w:rsidRDefault="0090310B" w:rsidP="00C2358C">
      <w:pPr>
        <w:pStyle w:val="Caption"/>
        <w:keepNext/>
        <w:spacing w:after="0"/>
        <w:ind w:left="-180" w:right="-630"/>
        <w:jc w:val="center"/>
        <w:rPr>
          <w:rFonts w:asciiTheme="majorBidi" w:hAnsiTheme="majorBidi" w:cstheme="majorBidi"/>
          <w:i w:val="0"/>
          <w:iCs w:val="0"/>
          <w:sz w:val="22"/>
          <w:szCs w:val="22"/>
        </w:rPr>
      </w:pPr>
      <w:r w:rsidRPr="000F1953">
        <w:rPr>
          <w:rFonts w:asciiTheme="majorBidi" w:hAnsiTheme="majorBidi" w:cstheme="majorBidi"/>
          <w:i w:val="0"/>
          <w:iCs w:val="0"/>
          <w:sz w:val="22"/>
          <w:szCs w:val="22"/>
        </w:rPr>
        <w:t xml:space="preserve">Table </w:t>
      </w:r>
      <w:r w:rsidR="00F1063B" w:rsidRPr="000F1953">
        <w:rPr>
          <w:rFonts w:asciiTheme="majorBidi" w:hAnsiTheme="majorBidi" w:cstheme="majorBidi"/>
          <w:i w:val="0"/>
          <w:iCs w:val="0"/>
          <w:sz w:val="22"/>
          <w:szCs w:val="22"/>
        </w:rPr>
        <w:t>2</w:t>
      </w:r>
      <w:r w:rsidRPr="000F1953">
        <w:rPr>
          <w:rFonts w:asciiTheme="majorBidi" w:hAnsiTheme="majorBidi" w:cstheme="majorBidi"/>
          <w:i w:val="0"/>
          <w:iCs w:val="0"/>
          <w:sz w:val="22"/>
          <w:szCs w:val="22"/>
        </w:rPr>
        <w:t xml:space="preserve">. </w:t>
      </w:r>
      <w:r w:rsidR="00944778" w:rsidRPr="000F1953">
        <w:rPr>
          <w:rFonts w:asciiTheme="majorBidi" w:hAnsiTheme="majorBidi" w:cstheme="majorBidi"/>
          <w:i w:val="0"/>
          <w:iCs w:val="0"/>
          <w:sz w:val="22"/>
          <w:szCs w:val="22"/>
        </w:rPr>
        <w:t>Clinical and Laboratory Characteristics of Hb H Patients According to α-Globin Genotype</w:t>
      </w:r>
    </w:p>
    <w:tbl>
      <w:tblPr>
        <w:tblStyle w:val="TableGrid"/>
        <w:tblW w:w="13408" w:type="dxa"/>
        <w:jc w:val="center"/>
        <w:tblLook w:val="04A0" w:firstRow="1" w:lastRow="0" w:firstColumn="1" w:lastColumn="0" w:noHBand="0" w:noVBand="1"/>
      </w:tblPr>
      <w:tblGrid>
        <w:gridCol w:w="2932"/>
        <w:gridCol w:w="1547"/>
        <w:gridCol w:w="1846"/>
        <w:gridCol w:w="1944"/>
        <w:gridCol w:w="1846"/>
        <w:gridCol w:w="987"/>
        <w:gridCol w:w="1076"/>
        <w:gridCol w:w="1230"/>
      </w:tblGrid>
      <w:tr w:rsidR="00944778" w:rsidRPr="000F1953" w14:paraId="45BD60BF" w14:textId="77777777" w:rsidTr="005A01C0">
        <w:trPr>
          <w:trHeight w:val="499"/>
          <w:jc w:val="center"/>
        </w:trPr>
        <w:tc>
          <w:tcPr>
            <w:tcW w:w="2932" w:type="dxa"/>
          </w:tcPr>
          <w:p w14:paraId="61FA2F13" w14:textId="77777777" w:rsidR="00944778" w:rsidRPr="000F1953" w:rsidRDefault="00944778" w:rsidP="00C2358C">
            <w:pPr>
              <w:ind w:left="-20"/>
              <w:jc w:val="both"/>
              <w:rPr>
                <w:rFonts w:asciiTheme="majorBidi" w:hAnsiTheme="majorBidi" w:cstheme="majorBidi"/>
                <w:sz w:val="20"/>
                <w:szCs w:val="20"/>
              </w:rPr>
            </w:pPr>
            <w:r w:rsidRPr="000F1953">
              <w:rPr>
                <w:rFonts w:asciiTheme="majorBidi" w:hAnsiTheme="majorBidi" w:cstheme="majorBidi"/>
                <w:sz w:val="20"/>
                <w:szCs w:val="20"/>
              </w:rPr>
              <w:t xml:space="preserve">Variable </w:t>
            </w:r>
          </w:p>
        </w:tc>
        <w:tc>
          <w:tcPr>
            <w:tcW w:w="1547" w:type="dxa"/>
            <w:vAlign w:val="center"/>
          </w:tcPr>
          <w:p w14:paraId="55ECD4E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Total</w:t>
            </w:r>
          </w:p>
          <w:p w14:paraId="79AF819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(n=152)</w:t>
            </w:r>
          </w:p>
        </w:tc>
        <w:tc>
          <w:tcPr>
            <w:tcW w:w="1846" w:type="dxa"/>
            <w:vAlign w:val="center"/>
          </w:tcPr>
          <w:p w14:paraId="5D0AA2F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ND/ND</w:t>
            </w:r>
          </w:p>
          <w:p w14:paraId="7C1AD15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(n=38)</w:t>
            </w:r>
          </w:p>
        </w:tc>
        <w:tc>
          <w:tcPr>
            <w:tcW w:w="1944" w:type="dxa"/>
            <w:vAlign w:val="center"/>
          </w:tcPr>
          <w:p w14:paraId="2BDE0139"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ND/D</w:t>
            </w:r>
          </w:p>
          <w:p w14:paraId="7EE1C30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(n=53)</w:t>
            </w:r>
          </w:p>
        </w:tc>
        <w:tc>
          <w:tcPr>
            <w:tcW w:w="1846" w:type="dxa"/>
            <w:vAlign w:val="center"/>
          </w:tcPr>
          <w:p w14:paraId="360466F2"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D/D</w:t>
            </w:r>
          </w:p>
          <w:p w14:paraId="61EE25C2"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(n=61)</w:t>
            </w:r>
          </w:p>
        </w:tc>
        <w:tc>
          <w:tcPr>
            <w:tcW w:w="987" w:type="dxa"/>
            <w:vAlign w:val="center"/>
          </w:tcPr>
          <w:p w14:paraId="082B672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P-value</w:t>
            </w:r>
            <w:r w:rsidRPr="000F1953">
              <w:rPr>
                <w:rFonts w:asciiTheme="majorBidi" w:hAnsiTheme="majorBidi" w:cstheme="majorBidi"/>
                <w:sz w:val="20"/>
                <w:szCs w:val="20"/>
                <w:vertAlign w:val="superscript"/>
              </w:rPr>
              <w:t>*</w:t>
            </w:r>
          </w:p>
        </w:tc>
        <w:tc>
          <w:tcPr>
            <w:tcW w:w="1076" w:type="dxa"/>
            <w:vAlign w:val="center"/>
          </w:tcPr>
          <w:p w14:paraId="04204D29"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P-value</w:t>
            </w:r>
            <w:r w:rsidRPr="000F1953">
              <w:rPr>
                <w:rFonts w:asciiTheme="majorBidi" w:hAnsiTheme="majorBidi" w:cstheme="majorBidi"/>
                <w:sz w:val="20"/>
                <w:szCs w:val="20"/>
                <w:vertAlign w:val="superscript"/>
              </w:rPr>
              <w:t>**</w:t>
            </w:r>
          </w:p>
        </w:tc>
        <w:tc>
          <w:tcPr>
            <w:tcW w:w="1230" w:type="dxa"/>
            <w:vAlign w:val="center"/>
          </w:tcPr>
          <w:p w14:paraId="663CCE2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P-value</w:t>
            </w:r>
            <w:r w:rsidRPr="000F1953">
              <w:rPr>
                <w:rFonts w:asciiTheme="majorBidi" w:hAnsiTheme="majorBidi" w:cstheme="majorBidi"/>
                <w:sz w:val="20"/>
                <w:szCs w:val="20"/>
                <w:vertAlign w:val="superscript"/>
              </w:rPr>
              <w:t>***</w:t>
            </w:r>
          </w:p>
        </w:tc>
      </w:tr>
      <w:tr w:rsidR="00944778" w:rsidRPr="000F1953" w14:paraId="30B304F2" w14:textId="77777777" w:rsidTr="005A01C0">
        <w:trPr>
          <w:trHeight w:val="248"/>
          <w:jc w:val="center"/>
        </w:trPr>
        <w:tc>
          <w:tcPr>
            <w:tcW w:w="2932" w:type="dxa"/>
          </w:tcPr>
          <w:p w14:paraId="0D354A2B"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Age (Years)</w:t>
            </w:r>
            <w:r w:rsidRPr="000F1953">
              <w:rPr>
                <w:rFonts w:asciiTheme="majorBidi" w:hAnsiTheme="majorBidi" w:cstheme="majorBidi"/>
                <w:sz w:val="20"/>
                <w:szCs w:val="20"/>
                <w:vertAlign w:val="superscript"/>
              </w:rPr>
              <w:t>a</w:t>
            </w:r>
          </w:p>
        </w:tc>
        <w:tc>
          <w:tcPr>
            <w:tcW w:w="1547" w:type="dxa"/>
            <w:vAlign w:val="center"/>
          </w:tcPr>
          <w:p w14:paraId="506B11BC"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30.05±16.42</w:t>
            </w:r>
          </w:p>
        </w:tc>
        <w:tc>
          <w:tcPr>
            <w:tcW w:w="1846" w:type="dxa"/>
            <w:vAlign w:val="center"/>
          </w:tcPr>
          <w:p w14:paraId="3694496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25.97±14.45</w:t>
            </w:r>
          </w:p>
        </w:tc>
        <w:tc>
          <w:tcPr>
            <w:tcW w:w="1944" w:type="dxa"/>
            <w:vAlign w:val="center"/>
          </w:tcPr>
          <w:p w14:paraId="71D050F9"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31.83±17.38</w:t>
            </w:r>
          </w:p>
        </w:tc>
        <w:tc>
          <w:tcPr>
            <w:tcW w:w="1846" w:type="dxa"/>
            <w:vAlign w:val="center"/>
          </w:tcPr>
          <w:p w14:paraId="5FBF63E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31.04±16.54</w:t>
            </w:r>
          </w:p>
        </w:tc>
        <w:tc>
          <w:tcPr>
            <w:tcW w:w="987" w:type="dxa"/>
            <w:shd w:val="clear" w:color="auto" w:fill="auto"/>
            <w:vAlign w:val="center"/>
          </w:tcPr>
          <w:p w14:paraId="4C679FA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0.09</w:t>
            </w:r>
          </w:p>
        </w:tc>
        <w:tc>
          <w:tcPr>
            <w:tcW w:w="1076" w:type="dxa"/>
            <w:vAlign w:val="center"/>
          </w:tcPr>
          <w:p w14:paraId="3E64BF9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0.12</w:t>
            </w:r>
          </w:p>
        </w:tc>
        <w:tc>
          <w:tcPr>
            <w:tcW w:w="1230" w:type="dxa"/>
            <w:vAlign w:val="center"/>
          </w:tcPr>
          <w:p w14:paraId="3A17736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0.80</w:t>
            </w:r>
          </w:p>
        </w:tc>
      </w:tr>
      <w:tr w:rsidR="00944778" w:rsidRPr="000F1953" w14:paraId="36E4D91E" w14:textId="77777777" w:rsidTr="005A01C0">
        <w:trPr>
          <w:trHeight w:val="248"/>
          <w:jc w:val="center"/>
        </w:trPr>
        <w:tc>
          <w:tcPr>
            <w:tcW w:w="2932" w:type="dxa"/>
          </w:tcPr>
          <w:p w14:paraId="5ED1792D"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Sex (Female)</w:t>
            </w:r>
            <w:r w:rsidRPr="000F1953">
              <w:rPr>
                <w:rFonts w:asciiTheme="majorBidi" w:hAnsiTheme="majorBidi" w:cstheme="majorBidi"/>
                <w:sz w:val="20"/>
                <w:szCs w:val="20"/>
                <w:vertAlign w:val="superscript"/>
              </w:rPr>
              <w:t>b</w:t>
            </w:r>
          </w:p>
        </w:tc>
        <w:tc>
          <w:tcPr>
            <w:tcW w:w="1547" w:type="dxa"/>
            <w:vAlign w:val="center"/>
          </w:tcPr>
          <w:p w14:paraId="2522953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77 (51%)</w:t>
            </w:r>
          </w:p>
        </w:tc>
        <w:tc>
          <w:tcPr>
            <w:tcW w:w="1846" w:type="dxa"/>
            <w:vAlign w:val="center"/>
          </w:tcPr>
          <w:p w14:paraId="3AC2CE46"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12 (31.6%)</w:t>
            </w:r>
          </w:p>
        </w:tc>
        <w:tc>
          <w:tcPr>
            <w:tcW w:w="1944" w:type="dxa"/>
            <w:vAlign w:val="center"/>
          </w:tcPr>
          <w:p w14:paraId="5E7019DC"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30 (56.6%)</w:t>
            </w:r>
          </w:p>
        </w:tc>
        <w:tc>
          <w:tcPr>
            <w:tcW w:w="1846" w:type="dxa"/>
            <w:vAlign w:val="center"/>
          </w:tcPr>
          <w:p w14:paraId="0D9D033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35 (57.4%)</w:t>
            </w:r>
          </w:p>
        </w:tc>
        <w:tc>
          <w:tcPr>
            <w:tcW w:w="987" w:type="dxa"/>
            <w:shd w:val="clear" w:color="auto" w:fill="EDEDED" w:themeFill="accent3" w:themeFillTint="33"/>
            <w:vAlign w:val="center"/>
          </w:tcPr>
          <w:p w14:paraId="5B91E75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0.01</w:t>
            </w:r>
          </w:p>
        </w:tc>
        <w:tc>
          <w:tcPr>
            <w:tcW w:w="1076" w:type="dxa"/>
            <w:shd w:val="clear" w:color="auto" w:fill="EDEDED" w:themeFill="accent3" w:themeFillTint="33"/>
            <w:vAlign w:val="center"/>
          </w:tcPr>
          <w:p w14:paraId="0765E16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0.01</w:t>
            </w:r>
          </w:p>
        </w:tc>
        <w:tc>
          <w:tcPr>
            <w:tcW w:w="1230" w:type="dxa"/>
            <w:shd w:val="clear" w:color="auto" w:fill="FFFFFF" w:themeFill="background1"/>
            <w:vAlign w:val="center"/>
          </w:tcPr>
          <w:p w14:paraId="6A86227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0.93</w:t>
            </w:r>
          </w:p>
        </w:tc>
      </w:tr>
      <w:tr w:rsidR="00944778" w:rsidRPr="000F1953" w14:paraId="0DC0F972" w14:textId="77777777" w:rsidTr="005A01C0">
        <w:trPr>
          <w:trHeight w:val="248"/>
          <w:jc w:val="center"/>
        </w:trPr>
        <w:tc>
          <w:tcPr>
            <w:tcW w:w="2932" w:type="dxa"/>
            <w:shd w:val="clear" w:color="auto" w:fill="D0CECE" w:themeFill="background2" w:themeFillShade="E6"/>
          </w:tcPr>
          <w:p w14:paraId="046A1BFC"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Complete Blood Count</w:t>
            </w:r>
          </w:p>
        </w:tc>
        <w:tc>
          <w:tcPr>
            <w:tcW w:w="1547" w:type="dxa"/>
            <w:shd w:val="clear" w:color="auto" w:fill="D0CECE" w:themeFill="background2" w:themeFillShade="E6"/>
            <w:vAlign w:val="center"/>
          </w:tcPr>
          <w:p w14:paraId="75C03BFB"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6AC9F72E" w14:textId="77777777" w:rsidR="00944778" w:rsidRPr="000F1953" w:rsidRDefault="00944778" w:rsidP="00C2358C">
            <w:pPr>
              <w:jc w:val="center"/>
              <w:rPr>
                <w:rFonts w:asciiTheme="majorBidi" w:hAnsiTheme="majorBidi" w:cstheme="majorBidi"/>
                <w:sz w:val="20"/>
                <w:szCs w:val="20"/>
              </w:rPr>
            </w:pPr>
          </w:p>
        </w:tc>
        <w:tc>
          <w:tcPr>
            <w:tcW w:w="1944" w:type="dxa"/>
            <w:shd w:val="clear" w:color="auto" w:fill="D0CECE" w:themeFill="background2" w:themeFillShade="E6"/>
            <w:vAlign w:val="center"/>
          </w:tcPr>
          <w:p w14:paraId="611C883C"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1EA34EA0" w14:textId="77777777" w:rsidR="00944778" w:rsidRPr="000F1953" w:rsidRDefault="00944778" w:rsidP="00C2358C">
            <w:pPr>
              <w:jc w:val="center"/>
              <w:rPr>
                <w:rFonts w:asciiTheme="majorBidi" w:hAnsiTheme="majorBidi" w:cstheme="majorBidi"/>
                <w:sz w:val="20"/>
                <w:szCs w:val="20"/>
              </w:rPr>
            </w:pPr>
          </w:p>
        </w:tc>
        <w:tc>
          <w:tcPr>
            <w:tcW w:w="987" w:type="dxa"/>
            <w:shd w:val="clear" w:color="auto" w:fill="D0CECE" w:themeFill="background2" w:themeFillShade="E6"/>
            <w:vAlign w:val="center"/>
          </w:tcPr>
          <w:p w14:paraId="7A0C0805" w14:textId="77777777" w:rsidR="00944778" w:rsidRPr="000F1953" w:rsidRDefault="00944778" w:rsidP="00C2358C">
            <w:pPr>
              <w:jc w:val="center"/>
              <w:rPr>
                <w:rFonts w:asciiTheme="majorBidi" w:hAnsiTheme="majorBidi" w:cstheme="majorBidi"/>
                <w:sz w:val="20"/>
                <w:szCs w:val="20"/>
              </w:rPr>
            </w:pPr>
          </w:p>
        </w:tc>
        <w:tc>
          <w:tcPr>
            <w:tcW w:w="1076" w:type="dxa"/>
            <w:shd w:val="clear" w:color="auto" w:fill="D0CECE" w:themeFill="background2" w:themeFillShade="E6"/>
            <w:vAlign w:val="center"/>
          </w:tcPr>
          <w:p w14:paraId="3A9C94FD" w14:textId="77777777" w:rsidR="00944778" w:rsidRPr="000F1953" w:rsidRDefault="00944778" w:rsidP="00C2358C">
            <w:pPr>
              <w:jc w:val="center"/>
              <w:rPr>
                <w:rFonts w:asciiTheme="majorBidi" w:hAnsiTheme="majorBidi" w:cstheme="majorBidi"/>
                <w:sz w:val="20"/>
                <w:szCs w:val="20"/>
              </w:rPr>
            </w:pPr>
          </w:p>
        </w:tc>
        <w:tc>
          <w:tcPr>
            <w:tcW w:w="1230" w:type="dxa"/>
            <w:shd w:val="clear" w:color="auto" w:fill="D0CECE" w:themeFill="background2" w:themeFillShade="E6"/>
            <w:vAlign w:val="center"/>
          </w:tcPr>
          <w:p w14:paraId="240C7A6A" w14:textId="77777777" w:rsidR="00944778" w:rsidRPr="000F1953" w:rsidRDefault="00944778" w:rsidP="00C2358C">
            <w:pPr>
              <w:jc w:val="center"/>
              <w:rPr>
                <w:rFonts w:asciiTheme="majorBidi" w:hAnsiTheme="majorBidi" w:cstheme="majorBidi"/>
                <w:sz w:val="20"/>
                <w:szCs w:val="20"/>
              </w:rPr>
            </w:pPr>
          </w:p>
        </w:tc>
      </w:tr>
      <w:tr w:rsidR="00944778" w:rsidRPr="000F1953" w14:paraId="6B549866" w14:textId="77777777" w:rsidTr="005A01C0">
        <w:trPr>
          <w:trHeight w:val="248"/>
          <w:jc w:val="center"/>
        </w:trPr>
        <w:tc>
          <w:tcPr>
            <w:tcW w:w="2932" w:type="dxa"/>
          </w:tcPr>
          <w:p w14:paraId="3F2E4216"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MCV (fL)</w:t>
            </w:r>
          </w:p>
        </w:tc>
        <w:tc>
          <w:tcPr>
            <w:tcW w:w="1547" w:type="dxa"/>
            <w:vAlign w:val="center"/>
          </w:tcPr>
          <w:p w14:paraId="6CAA1E4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62.66±8.57</w:t>
            </w:r>
          </w:p>
        </w:tc>
        <w:tc>
          <w:tcPr>
            <w:tcW w:w="1846" w:type="dxa"/>
            <w:vAlign w:val="center"/>
          </w:tcPr>
          <w:p w14:paraId="5557A2C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66.25±8.27</w:t>
            </w:r>
          </w:p>
        </w:tc>
        <w:tc>
          <w:tcPr>
            <w:tcW w:w="1944" w:type="dxa"/>
            <w:vAlign w:val="center"/>
          </w:tcPr>
          <w:p w14:paraId="1E0C1C7C"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63.23±7.08</w:t>
            </w:r>
          </w:p>
        </w:tc>
        <w:tc>
          <w:tcPr>
            <w:tcW w:w="1846" w:type="dxa"/>
            <w:vAlign w:val="center"/>
          </w:tcPr>
          <w:p w14:paraId="51AD8E5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59.92±9.13</w:t>
            </w:r>
          </w:p>
        </w:tc>
        <w:tc>
          <w:tcPr>
            <w:tcW w:w="987" w:type="dxa"/>
            <w:shd w:val="clear" w:color="auto" w:fill="auto"/>
            <w:vAlign w:val="center"/>
          </w:tcPr>
          <w:p w14:paraId="0A3BBDB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0.06</w:t>
            </w:r>
          </w:p>
        </w:tc>
        <w:tc>
          <w:tcPr>
            <w:tcW w:w="1076" w:type="dxa"/>
            <w:shd w:val="clear" w:color="auto" w:fill="EDEDED" w:themeFill="accent3" w:themeFillTint="33"/>
            <w:vAlign w:val="center"/>
          </w:tcPr>
          <w:p w14:paraId="30EAAC5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&lt;0.001</w:t>
            </w:r>
          </w:p>
        </w:tc>
        <w:tc>
          <w:tcPr>
            <w:tcW w:w="1230" w:type="dxa"/>
            <w:vAlign w:val="center"/>
          </w:tcPr>
          <w:p w14:paraId="35E3482C"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0.03</w:t>
            </w:r>
          </w:p>
        </w:tc>
      </w:tr>
      <w:tr w:rsidR="00944778" w:rsidRPr="000F1953" w14:paraId="6F740FF6" w14:textId="77777777" w:rsidTr="005A01C0">
        <w:trPr>
          <w:trHeight w:val="248"/>
          <w:jc w:val="center"/>
        </w:trPr>
        <w:tc>
          <w:tcPr>
            <w:tcW w:w="2932" w:type="dxa"/>
          </w:tcPr>
          <w:p w14:paraId="276767C9"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MCH (pg)</w:t>
            </w:r>
          </w:p>
        </w:tc>
        <w:tc>
          <w:tcPr>
            <w:tcW w:w="1547" w:type="dxa"/>
            <w:vAlign w:val="center"/>
          </w:tcPr>
          <w:p w14:paraId="45053EB2"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18.96±4.42</w:t>
            </w:r>
          </w:p>
        </w:tc>
        <w:tc>
          <w:tcPr>
            <w:tcW w:w="1846" w:type="dxa"/>
            <w:vAlign w:val="center"/>
          </w:tcPr>
          <w:p w14:paraId="754300B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20.08±3.51</w:t>
            </w:r>
          </w:p>
        </w:tc>
        <w:tc>
          <w:tcPr>
            <w:tcW w:w="1944" w:type="dxa"/>
            <w:vAlign w:val="center"/>
          </w:tcPr>
          <w:p w14:paraId="268036D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19.17±2.97</w:t>
            </w:r>
          </w:p>
        </w:tc>
        <w:tc>
          <w:tcPr>
            <w:tcW w:w="1846" w:type="dxa"/>
            <w:vAlign w:val="center"/>
          </w:tcPr>
          <w:p w14:paraId="1FC4AA6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18.08±5.69</w:t>
            </w:r>
          </w:p>
        </w:tc>
        <w:tc>
          <w:tcPr>
            <w:tcW w:w="987" w:type="dxa"/>
            <w:shd w:val="clear" w:color="auto" w:fill="auto"/>
            <w:vAlign w:val="center"/>
          </w:tcPr>
          <w:p w14:paraId="56C9F22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0.18</w:t>
            </w:r>
          </w:p>
        </w:tc>
        <w:tc>
          <w:tcPr>
            <w:tcW w:w="1076" w:type="dxa"/>
            <w:vAlign w:val="center"/>
          </w:tcPr>
          <w:p w14:paraId="1C5BBFF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0.05</w:t>
            </w:r>
          </w:p>
        </w:tc>
        <w:tc>
          <w:tcPr>
            <w:tcW w:w="1230" w:type="dxa"/>
            <w:vAlign w:val="center"/>
          </w:tcPr>
          <w:p w14:paraId="06E08C5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0.21</w:t>
            </w:r>
          </w:p>
        </w:tc>
      </w:tr>
      <w:tr w:rsidR="00944778" w:rsidRPr="000F1953" w14:paraId="13D3563B" w14:textId="77777777" w:rsidTr="005A01C0">
        <w:trPr>
          <w:trHeight w:val="248"/>
          <w:jc w:val="center"/>
        </w:trPr>
        <w:tc>
          <w:tcPr>
            <w:tcW w:w="2932" w:type="dxa"/>
          </w:tcPr>
          <w:p w14:paraId="529538F7"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Hb (g/dL)</w:t>
            </w:r>
          </w:p>
        </w:tc>
        <w:tc>
          <w:tcPr>
            <w:tcW w:w="1547" w:type="dxa"/>
            <w:vAlign w:val="center"/>
          </w:tcPr>
          <w:p w14:paraId="41B74B7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9.43±1.59</w:t>
            </w:r>
          </w:p>
        </w:tc>
        <w:tc>
          <w:tcPr>
            <w:tcW w:w="1846" w:type="dxa"/>
            <w:vAlign w:val="center"/>
          </w:tcPr>
          <w:p w14:paraId="2FD64DF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9.95±1.84</w:t>
            </w:r>
          </w:p>
        </w:tc>
        <w:tc>
          <w:tcPr>
            <w:tcW w:w="1944" w:type="dxa"/>
            <w:vAlign w:val="center"/>
          </w:tcPr>
          <w:p w14:paraId="4B792E9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9.39±1.68</w:t>
            </w:r>
          </w:p>
        </w:tc>
        <w:tc>
          <w:tcPr>
            <w:tcW w:w="1846" w:type="dxa"/>
            <w:vAlign w:val="center"/>
          </w:tcPr>
          <w:p w14:paraId="02FCD2A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9.13±1.26</w:t>
            </w:r>
          </w:p>
        </w:tc>
        <w:tc>
          <w:tcPr>
            <w:tcW w:w="987" w:type="dxa"/>
            <w:shd w:val="clear" w:color="auto" w:fill="FFFFFF" w:themeFill="background1"/>
            <w:vAlign w:val="center"/>
          </w:tcPr>
          <w:p w14:paraId="382A70A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0.13</w:t>
            </w:r>
          </w:p>
        </w:tc>
        <w:tc>
          <w:tcPr>
            <w:tcW w:w="1076" w:type="dxa"/>
            <w:shd w:val="clear" w:color="auto" w:fill="EDEDED" w:themeFill="accent3" w:themeFillTint="33"/>
            <w:vAlign w:val="center"/>
          </w:tcPr>
          <w:p w14:paraId="4F3015D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0.01</w:t>
            </w:r>
          </w:p>
        </w:tc>
        <w:tc>
          <w:tcPr>
            <w:tcW w:w="1230" w:type="dxa"/>
            <w:shd w:val="clear" w:color="auto" w:fill="FFFFFF" w:themeFill="background1"/>
            <w:vAlign w:val="center"/>
          </w:tcPr>
          <w:p w14:paraId="02C3279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0.35</w:t>
            </w:r>
          </w:p>
        </w:tc>
      </w:tr>
      <w:tr w:rsidR="00944778" w:rsidRPr="000F1953" w14:paraId="7B231C32" w14:textId="77777777" w:rsidTr="005A01C0">
        <w:trPr>
          <w:trHeight w:val="248"/>
          <w:jc w:val="center"/>
        </w:trPr>
        <w:tc>
          <w:tcPr>
            <w:tcW w:w="2932" w:type="dxa"/>
          </w:tcPr>
          <w:p w14:paraId="2D9FBEA6"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RETIC (%)</w:t>
            </w:r>
          </w:p>
        </w:tc>
        <w:tc>
          <w:tcPr>
            <w:tcW w:w="1547" w:type="dxa"/>
            <w:vAlign w:val="center"/>
          </w:tcPr>
          <w:p w14:paraId="6461AD09"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4.43±3.34</w:t>
            </w:r>
          </w:p>
        </w:tc>
        <w:tc>
          <w:tcPr>
            <w:tcW w:w="1846" w:type="dxa"/>
            <w:vAlign w:val="center"/>
          </w:tcPr>
          <w:p w14:paraId="12381E1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4.76±4.73</w:t>
            </w:r>
          </w:p>
        </w:tc>
        <w:tc>
          <w:tcPr>
            <w:tcW w:w="1944" w:type="dxa"/>
            <w:vAlign w:val="center"/>
          </w:tcPr>
          <w:p w14:paraId="0DE740C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4.87±2.84</w:t>
            </w:r>
          </w:p>
        </w:tc>
        <w:tc>
          <w:tcPr>
            <w:tcW w:w="1846" w:type="dxa"/>
            <w:vAlign w:val="center"/>
          </w:tcPr>
          <w:p w14:paraId="7BAE009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3.89±2.60</w:t>
            </w:r>
          </w:p>
        </w:tc>
        <w:tc>
          <w:tcPr>
            <w:tcW w:w="987" w:type="dxa"/>
            <w:shd w:val="clear" w:color="auto" w:fill="auto"/>
            <w:vAlign w:val="center"/>
          </w:tcPr>
          <w:p w14:paraId="5D5A88C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0.89</w:t>
            </w:r>
          </w:p>
        </w:tc>
        <w:tc>
          <w:tcPr>
            <w:tcW w:w="1076" w:type="dxa"/>
            <w:shd w:val="clear" w:color="auto" w:fill="FFFFFF" w:themeFill="background1"/>
            <w:vAlign w:val="center"/>
          </w:tcPr>
          <w:p w14:paraId="753F5E1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0.31</w:t>
            </w:r>
          </w:p>
        </w:tc>
        <w:tc>
          <w:tcPr>
            <w:tcW w:w="1230" w:type="dxa"/>
            <w:shd w:val="clear" w:color="auto" w:fill="FFFFFF" w:themeFill="background1"/>
            <w:vAlign w:val="center"/>
          </w:tcPr>
          <w:p w14:paraId="1B0A747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0.05</w:t>
            </w:r>
          </w:p>
        </w:tc>
      </w:tr>
      <w:tr w:rsidR="00944778" w:rsidRPr="000F1953" w14:paraId="399F8420" w14:textId="77777777" w:rsidTr="005A01C0">
        <w:trPr>
          <w:trHeight w:val="248"/>
          <w:jc w:val="center"/>
        </w:trPr>
        <w:tc>
          <w:tcPr>
            <w:tcW w:w="2932" w:type="dxa"/>
            <w:shd w:val="clear" w:color="auto" w:fill="D0CECE" w:themeFill="background2" w:themeFillShade="E6"/>
          </w:tcPr>
          <w:p w14:paraId="0CFDACFE"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Hemoglobin Electrophoresis</w:t>
            </w:r>
          </w:p>
        </w:tc>
        <w:tc>
          <w:tcPr>
            <w:tcW w:w="1547" w:type="dxa"/>
            <w:shd w:val="clear" w:color="auto" w:fill="D0CECE" w:themeFill="background2" w:themeFillShade="E6"/>
            <w:vAlign w:val="center"/>
          </w:tcPr>
          <w:p w14:paraId="7AE24571"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558EF098" w14:textId="77777777" w:rsidR="00944778" w:rsidRPr="000F1953" w:rsidRDefault="00944778" w:rsidP="00C2358C">
            <w:pPr>
              <w:jc w:val="center"/>
              <w:rPr>
                <w:rFonts w:asciiTheme="majorBidi" w:hAnsiTheme="majorBidi" w:cstheme="majorBidi"/>
                <w:sz w:val="20"/>
                <w:szCs w:val="20"/>
              </w:rPr>
            </w:pPr>
          </w:p>
        </w:tc>
        <w:tc>
          <w:tcPr>
            <w:tcW w:w="1944" w:type="dxa"/>
            <w:shd w:val="clear" w:color="auto" w:fill="D0CECE" w:themeFill="background2" w:themeFillShade="E6"/>
            <w:vAlign w:val="center"/>
          </w:tcPr>
          <w:p w14:paraId="67B0CA76"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04540981" w14:textId="77777777" w:rsidR="00944778" w:rsidRPr="000F1953" w:rsidRDefault="00944778" w:rsidP="00C2358C">
            <w:pPr>
              <w:jc w:val="center"/>
              <w:rPr>
                <w:rFonts w:asciiTheme="majorBidi" w:hAnsiTheme="majorBidi" w:cstheme="majorBidi"/>
                <w:sz w:val="20"/>
                <w:szCs w:val="20"/>
              </w:rPr>
            </w:pPr>
          </w:p>
        </w:tc>
        <w:tc>
          <w:tcPr>
            <w:tcW w:w="987" w:type="dxa"/>
            <w:shd w:val="clear" w:color="auto" w:fill="D0CECE" w:themeFill="background2" w:themeFillShade="E6"/>
            <w:vAlign w:val="center"/>
          </w:tcPr>
          <w:p w14:paraId="26FD5E46" w14:textId="77777777" w:rsidR="00944778" w:rsidRPr="000F1953" w:rsidRDefault="00944778" w:rsidP="00C2358C">
            <w:pPr>
              <w:jc w:val="center"/>
              <w:rPr>
                <w:rFonts w:asciiTheme="majorBidi" w:hAnsiTheme="majorBidi" w:cstheme="majorBidi"/>
                <w:sz w:val="20"/>
                <w:szCs w:val="20"/>
              </w:rPr>
            </w:pPr>
          </w:p>
        </w:tc>
        <w:tc>
          <w:tcPr>
            <w:tcW w:w="1076" w:type="dxa"/>
            <w:shd w:val="clear" w:color="auto" w:fill="D0CECE" w:themeFill="background2" w:themeFillShade="E6"/>
            <w:vAlign w:val="center"/>
          </w:tcPr>
          <w:p w14:paraId="6116770C" w14:textId="77777777" w:rsidR="00944778" w:rsidRPr="000F1953" w:rsidRDefault="00944778" w:rsidP="00C2358C">
            <w:pPr>
              <w:jc w:val="center"/>
              <w:rPr>
                <w:rFonts w:asciiTheme="majorBidi" w:hAnsiTheme="majorBidi" w:cstheme="majorBidi"/>
                <w:sz w:val="20"/>
                <w:szCs w:val="20"/>
              </w:rPr>
            </w:pPr>
          </w:p>
        </w:tc>
        <w:tc>
          <w:tcPr>
            <w:tcW w:w="1230" w:type="dxa"/>
            <w:shd w:val="clear" w:color="auto" w:fill="D0CECE" w:themeFill="background2" w:themeFillShade="E6"/>
            <w:vAlign w:val="center"/>
          </w:tcPr>
          <w:p w14:paraId="35E1FC79" w14:textId="77777777" w:rsidR="00944778" w:rsidRPr="000F1953" w:rsidRDefault="00944778" w:rsidP="00C2358C">
            <w:pPr>
              <w:jc w:val="center"/>
              <w:rPr>
                <w:rFonts w:asciiTheme="majorBidi" w:hAnsiTheme="majorBidi" w:cstheme="majorBidi"/>
                <w:sz w:val="20"/>
                <w:szCs w:val="20"/>
              </w:rPr>
            </w:pPr>
          </w:p>
        </w:tc>
      </w:tr>
      <w:tr w:rsidR="00944778" w:rsidRPr="000F1953" w14:paraId="549B2E99" w14:textId="77777777" w:rsidTr="005A01C0">
        <w:trPr>
          <w:trHeight w:val="248"/>
          <w:jc w:val="center"/>
        </w:trPr>
        <w:tc>
          <w:tcPr>
            <w:tcW w:w="2932" w:type="dxa"/>
          </w:tcPr>
          <w:p w14:paraId="379C951E"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Hb A2 (%)</w:t>
            </w:r>
          </w:p>
        </w:tc>
        <w:tc>
          <w:tcPr>
            <w:tcW w:w="1547" w:type="dxa"/>
            <w:vAlign w:val="center"/>
          </w:tcPr>
          <w:p w14:paraId="0D11836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1.47±0.75</w:t>
            </w:r>
          </w:p>
        </w:tc>
        <w:tc>
          <w:tcPr>
            <w:tcW w:w="1846" w:type="dxa"/>
            <w:vAlign w:val="center"/>
          </w:tcPr>
          <w:p w14:paraId="73EAE8A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1.62±0.58</w:t>
            </w:r>
          </w:p>
        </w:tc>
        <w:tc>
          <w:tcPr>
            <w:tcW w:w="1944" w:type="dxa"/>
            <w:vAlign w:val="center"/>
          </w:tcPr>
          <w:p w14:paraId="15EC072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1.41±0.88</w:t>
            </w:r>
          </w:p>
        </w:tc>
        <w:tc>
          <w:tcPr>
            <w:tcW w:w="1846" w:type="dxa"/>
            <w:vAlign w:val="center"/>
          </w:tcPr>
          <w:p w14:paraId="1ADBAE9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1.43±0.72</w:t>
            </w:r>
          </w:p>
        </w:tc>
        <w:tc>
          <w:tcPr>
            <w:tcW w:w="987" w:type="dxa"/>
            <w:shd w:val="clear" w:color="auto" w:fill="auto"/>
            <w:vAlign w:val="center"/>
          </w:tcPr>
          <w:p w14:paraId="78C60356"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0.19</w:t>
            </w:r>
          </w:p>
        </w:tc>
        <w:tc>
          <w:tcPr>
            <w:tcW w:w="1076" w:type="dxa"/>
            <w:vAlign w:val="center"/>
          </w:tcPr>
          <w:p w14:paraId="5F7AFFB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0.18</w:t>
            </w:r>
          </w:p>
        </w:tc>
        <w:tc>
          <w:tcPr>
            <w:tcW w:w="1230" w:type="dxa"/>
            <w:vAlign w:val="center"/>
          </w:tcPr>
          <w:p w14:paraId="0CAFF01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0.89</w:t>
            </w:r>
          </w:p>
        </w:tc>
      </w:tr>
      <w:tr w:rsidR="00944778" w:rsidRPr="000F1953" w14:paraId="583D710B" w14:textId="77777777" w:rsidTr="005A01C0">
        <w:trPr>
          <w:trHeight w:val="248"/>
          <w:jc w:val="center"/>
        </w:trPr>
        <w:tc>
          <w:tcPr>
            <w:tcW w:w="2932" w:type="dxa"/>
          </w:tcPr>
          <w:p w14:paraId="605787E9"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Hb F (%)</w:t>
            </w:r>
          </w:p>
        </w:tc>
        <w:tc>
          <w:tcPr>
            <w:tcW w:w="1547" w:type="dxa"/>
            <w:vAlign w:val="center"/>
          </w:tcPr>
          <w:p w14:paraId="1905D7C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1.92±8.89</w:t>
            </w:r>
          </w:p>
        </w:tc>
        <w:tc>
          <w:tcPr>
            <w:tcW w:w="1846" w:type="dxa"/>
            <w:vAlign w:val="center"/>
          </w:tcPr>
          <w:p w14:paraId="1034AB5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0.71±0.92</w:t>
            </w:r>
          </w:p>
        </w:tc>
        <w:tc>
          <w:tcPr>
            <w:tcW w:w="1944" w:type="dxa"/>
            <w:vAlign w:val="center"/>
          </w:tcPr>
          <w:p w14:paraId="4F9EEB19"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3.47±15.02</w:t>
            </w:r>
          </w:p>
        </w:tc>
        <w:tc>
          <w:tcPr>
            <w:tcW w:w="1846" w:type="dxa"/>
            <w:vAlign w:val="center"/>
          </w:tcPr>
          <w:p w14:paraId="1EADEF8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1.48±3.20</w:t>
            </w:r>
          </w:p>
        </w:tc>
        <w:tc>
          <w:tcPr>
            <w:tcW w:w="987" w:type="dxa"/>
            <w:vAlign w:val="center"/>
          </w:tcPr>
          <w:p w14:paraId="11CAF8E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0.33</w:t>
            </w:r>
          </w:p>
        </w:tc>
        <w:tc>
          <w:tcPr>
            <w:tcW w:w="1076" w:type="dxa"/>
            <w:vAlign w:val="center"/>
          </w:tcPr>
          <w:p w14:paraId="32BB1D6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0.21</w:t>
            </w:r>
          </w:p>
        </w:tc>
        <w:tc>
          <w:tcPr>
            <w:tcW w:w="1230" w:type="dxa"/>
            <w:vAlign w:val="center"/>
          </w:tcPr>
          <w:p w14:paraId="4F645C8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0.43</w:t>
            </w:r>
          </w:p>
        </w:tc>
      </w:tr>
      <w:tr w:rsidR="00944778" w:rsidRPr="000F1953" w14:paraId="3E0A7D9C" w14:textId="77777777" w:rsidTr="005A01C0">
        <w:trPr>
          <w:trHeight w:val="248"/>
          <w:jc w:val="center"/>
        </w:trPr>
        <w:tc>
          <w:tcPr>
            <w:tcW w:w="2932" w:type="dxa"/>
          </w:tcPr>
          <w:p w14:paraId="482684F8"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Hb A (%)</w:t>
            </w:r>
          </w:p>
        </w:tc>
        <w:tc>
          <w:tcPr>
            <w:tcW w:w="1547" w:type="dxa"/>
            <w:vAlign w:val="center"/>
          </w:tcPr>
          <w:p w14:paraId="08C7ECF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89.68±11.25</w:t>
            </w:r>
          </w:p>
        </w:tc>
        <w:tc>
          <w:tcPr>
            <w:tcW w:w="1846" w:type="dxa"/>
            <w:vAlign w:val="center"/>
          </w:tcPr>
          <w:p w14:paraId="78DBB06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91.25±7.85</w:t>
            </w:r>
          </w:p>
        </w:tc>
        <w:tc>
          <w:tcPr>
            <w:tcW w:w="1944" w:type="dxa"/>
            <w:vAlign w:val="center"/>
          </w:tcPr>
          <w:p w14:paraId="1F0A467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86.15±14.06</w:t>
            </w:r>
          </w:p>
        </w:tc>
        <w:tc>
          <w:tcPr>
            <w:tcW w:w="1846" w:type="dxa"/>
            <w:vAlign w:val="center"/>
          </w:tcPr>
          <w:p w14:paraId="683F0DB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91.87±8.76</w:t>
            </w:r>
          </w:p>
        </w:tc>
        <w:tc>
          <w:tcPr>
            <w:tcW w:w="987" w:type="dxa"/>
            <w:shd w:val="clear" w:color="auto" w:fill="FFFFFF" w:themeFill="background1"/>
            <w:vAlign w:val="center"/>
          </w:tcPr>
          <w:p w14:paraId="55FEEDD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0.06</w:t>
            </w:r>
          </w:p>
        </w:tc>
        <w:tc>
          <w:tcPr>
            <w:tcW w:w="1076" w:type="dxa"/>
            <w:shd w:val="clear" w:color="auto" w:fill="FFFFFF" w:themeFill="background1"/>
            <w:vAlign w:val="center"/>
          </w:tcPr>
          <w:p w14:paraId="2FF642D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0.73</w:t>
            </w:r>
          </w:p>
        </w:tc>
        <w:tc>
          <w:tcPr>
            <w:tcW w:w="1230" w:type="dxa"/>
            <w:shd w:val="clear" w:color="auto" w:fill="EDEDED" w:themeFill="accent3" w:themeFillTint="33"/>
            <w:vAlign w:val="center"/>
          </w:tcPr>
          <w:p w14:paraId="156E283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0.01</w:t>
            </w:r>
          </w:p>
        </w:tc>
      </w:tr>
      <w:tr w:rsidR="00944778" w:rsidRPr="000F1953" w14:paraId="38EEB752" w14:textId="77777777" w:rsidTr="005A01C0">
        <w:trPr>
          <w:trHeight w:val="248"/>
          <w:jc w:val="center"/>
        </w:trPr>
        <w:tc>
          <w:tcPr>
            <w:tcW w:w="2932" w:type="dxa"/>
          </w:tcPr>
          <w:p w14:paraId="33818E28"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Hb H (%)</w:t>
            </w:r>
          </w:p>
        </w:tc>
        <w:tc>
          <w:tcPr>
            <w:tcW w:w="1547" w:type="dxa"/>
            <w:vAlign w:val="center"/>
          </w:tcPr>
          <w:p w14:paraId="0C376F1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9.88±8.00</w:t>
            </w:r>
          </w:p>
        </w:tc>
        <w:tc>
          <w:tcPr>
            <w:tcW w:w="1846" w:type="dxa"/>
            <w:vAlign w:val="center"/>
          </w:tcPr>
          <w:p w14:paraId="45AEC2E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10.54±8.52</w:t>
            </w:r>
          </w:p>
        </w:tc>
        <w:tc>
          <w:tcPr>
            <w:tcW w:w="1944" w:type="dxa"/>
            <w:vAlign w:val="center"/>
          </w:tcPr>
          <w:p w14:paraId="5C777B5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14.94±8.46</w:t>
            </w:r>
          </w:p>
        </w:tc>
        <w:tc>
          <w:tcPr>
            <w:tcW w:w="1846" w:type="dxa"/>
            <w:vAlign w:val="center"/>
          </w:tcPr>
          <w:p w14:paraId="6EC4BD7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5.37±3.70</w:t>
            </w:r>
          </w:p>
        </w:tc>
        <w:tc>
          <w:tcPr>
            <w:tcW w:w="987" w:type="dxa"/>
            <w:shd w:val="clear" w:color="auto" w:fill="EDEDED" w:themeFill="accent3" w:themeFillTint="33"/>
            <w:vAlign w:val="center"/>
          </w:tcPr>
          <w:p w14:paraId="0CA60CF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0.04</w:t>
            </w:r>
          </w:p>
        </w:tc>
        <w:tc>
          <w:tcPr>
            <w:tcW w:w="1076" w:type="dxa"/>
            <w:shd w:val="clear" w:color="auto" w:fill="EDEDED" w:themeFill="accent3" w:themeFillTint="33"/>
            <w:vAlign w:val="center"/>
          </w:tcPr>
          <w:p w14:paraId="594B841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0.007</w:t>
            </w:r>
          </w:p>
        </w:tc>
        <w:tc>
          <w:tcPr>
            <w:tcW w:w="1230" w:type="dxa"/>
            <w:shd w:val="clear" w:color="auto" w:fill="EDEDED" w:themeFill="accent3" w:themeFillTint="33"/>
            <w:vAlign w:val="center"/>
          </w:tcPr>
          <w:p w14:paraId="411760F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&lt;0.001</w:t>
            </w:r>
          </w:p>
        </w:tc>
      </w:tr>
      <w:tr w:rsidR="00944778" w:rsidRPr="000F1953" w14:paraId="6773051A" w14:textId="77777777" w:rsidTr="005A01C0">
        <w:trPr>
          <w:trHeight w:val="248"/>
          <w:jc w:val="center"/>
        </w:trPr>
        <w:tc>
          <w:tcPr>
            <w:tcW w:w="2932" w:type="dxa"/>
          </w:tcPr>
          <w:p w14:paraId="38FBA05A"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Hb Barts (%)</w:t>
            </w:r>
          </w:p>
        </w:tc>
        <w:tc>
          <w:tcPr>
            <w:tcW w:w="1547" w:type="dxa"/>
            <w:vAlign w:val="center"/>
          </w:tcPr>
          <w:p w14:paraId="2843753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3.53±12.21</w:t>
            </w:r>
          </w:p>
        </w:tc>
        <w:tc>
          <w:tcPr>
            <w:tcW w:w="1846" w:type="dxa"/>
            <w:vAlign w:val="center"/>
          </w:tcPr>
          <w:p w14:paraId="3EF379C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1.26±0.57</w:t>
            </w:r>
          </w:p>
        </w:tc>
        <w:tc>
          <w:tcPr>
            <w:tcW w:w="1944" w:type="dxa"/>
            <w:vAlign w:val="center"/>
          </w:tcPr>
          <w:p w14:paraId="1D935169"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1.47±0.93</w:t>
            </w:r>
          </w:p>
        </w:tc>
        <w:tc>
          <w:tcPr>
            <w:tcW w:w="1846" w:type="dxa"/>
            <w:vAlign w:val="center"/>
          </w:tcPr>
          <w:p w14:paraId="37A6F0A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5.63±17.28</w:t>
            </w:r>
          </w:p>
        </w:tc>
        <w:tc>
          <w:tcPr>
            <w:tcW w:w="987" w:type="dxa"/>
            <w:vAlign w:val="center"/>
          </w:tcPr>
          <w:p w14:paraId="1A6A0EE8"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0.72</w:t>
            </w:r>
          </w:p>
        </w:tc>
        <w:tc>
          <w:tcPr>
            <w:tcW w:w="1076" w:type="dxa"/>
            <w:vAlign w:val="center"/>
          </w:tcPr>
          <w:p w14:paraId="71CA9985"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0.67</w:t>
            </w:r>
          </w:p>
        </w:tc>
        <w:tc>
          <w:tcPr>
            <w:tcW w:w="1230" w:type="dxa"/>
            <w:vAlign w:val="center"/>
          </w:tcPr>
          <w:p w14:paraId="047068D9"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0.41</w:t>
            </w:r>
          </w:p>
        </w:tc>
      </w:tr>
      <w:tr w:rsidR="00944778" w:rsidRPr="000F1953" w14:paraId="293A2CD4" w14:textId="77777777" w:rsidTr="005A01C0">
        <w:trPr>
          <w:trHeight w:val="248"/>
          <w:jc w:val="center"/>
        </w:trPr>
        <w:tc>
          <w:tcPr>
            <w:tcW w:w="2932" w:type="dxa"/>
            <w:shd w:val="clear" w:color="auto" w:fill="D0CECE" w:themeFill="background2" w:themeFillShade="E6"/>
          </w:tcPr>
          <w:p w14:paraId="4297A018"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Iron Status</w:t>
            </w:r>
          </w:p>
        </w:tc>
        <w:tc>
          <w:tcPr>
            <w:tcW w:w="1547" w:type="dxa"/>
            <w:shd w:val="clear" w:color="auto" w:fill="D0CECE" w:themeFill="background2" w:themeFillShade="E6"/>
            <w:vAlign w:val="center"/>
          </w:tcPr>
          <w:p w14:paraId="4DE596E7"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7BDB021E" w14:textId="77777777" w:rsidR="00944778" w:rsidRPr="000F1953" w:rsidRDefault="00944778" w:rsidP="00C2358C">
            <w:pPr>
              <w:jc w:val="center"/>
              <w:rPr>
                <w:rFonts w:asciiTheme="majorBidi" w:hAnsiTheme="majorBidi" w:cstheme="majorBidi"/>
                <w:sz w:val="20"/>
                <w:szCs w:val="20"/>
              </w:rPr>
            </w:pPr>
          </w:p>
        </w:tc>
        <w:tc>
          <w:tcPr>
            <w:tcW w:w="1944" w:type="dxa"/>
            <w:shd w:val="clear" w:color="auto" w:fill="D0CECE" w:themeFill="background2" w:themeFillShade="E6"/>
            <w:vAlign w:val="center"/>
          </w:tcPr>
          <w:p w14:paraId="1BED2FD0"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754FFC3A" w14:textId="77777777" w:rsidR="00944778" w:rsidRPr="000F1953" w:rsidRDefault="00944778" w:rsidP="00C2358C">
            <w:pPr>
              <w:jc w:val="center"/>
              <w:rPr>
                <w:rFonts w:asciiTheme="majorBidi" w:hAnsiTheme="majorBidi" w:cstheme="majorBidi"/>
                <w:sz w:val="20"/>
                <w:szCs w:val="20"/>
              </w:rPr>
            </w:pPr>
          </w:p>
        </w:tc>
        <w:tc>
          <w:tcPr>
            <w:tcW w:w="987" w:type="dxa"/>
            <w:shd w:val="clear" w:color="auto" w:fill="D0CECE" w:themeFill="background2" w:themeFillShade="E6"/>
            <w:vAlign w:val="center"/>
          </w:tcPr>
          <w:p w14:paraId="188C29B8" w14:textId="77777777" w:rsidR="00944778" w:rsidRPr="000F1953" w:rsidRDefault="00944778" w:rsidP="00C2358C">
            <w:pPr>
              <w:keepNext/>
              <w:jc w:val="center"/>
              <w:rPr>
                <w:rFonts w:asciiTheme="majorBidi" w:hAnsiTheme="majorBidi" w:cstheme="majorBidi"/>
                <w:sz w:val="20"/>
                <w:szCs w:val="20"/>
              </w:rPr>
            </w:pPr>
          </w:p>
        </w:tc>
        <w:tc>
          <w:tcPr>
            <w:tcW w:w="1076" w:type="dxa"/>
            <w:shd w:val="clear" w:color="auto" w:fill="D0CECE" w:themeFill="background2" w:themeFillShade="E6"/>
            <w:vAlign w:val="center"/>
          </w:tcPr>
          <w:p w14:paraId="54293A01" w14:textId="77777777" w:rsidR="00944778" w:rsidRPr="000F1953" w:rsidRDefault="00944778" w:rsidP="00C2358C">
            <w:pPr>
              <w:keepNext/>
              <w:jc w:val="center"/>
              <w:rPr>
                <w:rFonts w:asciiTheme="majorBidi" w:hAnsiTheme="majorBidi" w:cstheme="majorBidi"/>
                <w:sz w:val="20"/>
                <w:szCs w:val="20"/>
              </w:rPr>
            </w:pPr>
          </w:p>
        </w:tc>
        <w:tc>
          <w:tcPr>
            <w:tcW w:w="1230" w:type="dxa"/>
            <w:shd w:val="clear" w:color="auto" w:fill="D0CECE" w:themeFill="background2" w:themeFillShade="E6"/>
            <w:vAlign w:val="center"/>
          </w:tcPr>
          <w:p w14:paraId="4CA3211D" w14:textId="77777777" w:rsidR="00944778" w:rsidRPr="000F1953" w:rsidRDefault="00944778" w:rsidP="00C2358C">
            <w:pPr>
              <w:keepNext/>
              <w:jc w:val="center"/>
              <w:rPr>
                <w:rFonts w:asciiTheme="majorBidi" w:hAnsiTheme="majorBidi" w:cstheme="majorBidi"/>
                <w:sz w:val="20"/>
                <w:szCs w:val="20"/>
              </w:rPr>
            </w:pPr>
          </w:p>
        </w:tc>
      </w:tr>
      <w:tr w:rsidR="00944778" w:rsidRPr="000F1953" w14:paraId="09974E64" w14:textId="77777777" w:rsidTr="005A01C0">
        <w:trPr>
          <w:trHeight w:val="248"/>
          <w:jc w:val="center"/>
        </w:trPr>
        <w:tc>
          <w:tcPr>
            <w:tcW w:w="2932" w:type="dxa"/>
          </w:tcPr>
          <w:p w14:paraId="37D68BF2"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TIBC (</w:t>
            </w:r>
            <w:r w:rsidRPr="000F1953">
              <w:rPr>
                <w:rFonts w:asciiTheme="majorBidi" w:hAnsiTheme="majorBidi" w:cstheme="majorBidi"/>
                <w:sz w:val="20"/>
                <w:szCs w:val="20"/>
                <w:lang w:bidi="fa-IR"/>
              </w:rPr>
              <w:t>µg/dL)</w:t>
            </w:r>
          </w:p>
        </w:tc>
        <w:tc>
          <w:tcPr>
            <w:tcW w:w="1547" w:type="dxa"/>
            <w:vAlign w:val="center"/>
          </w:tcPr>
          <w:p w14:paraId="3CC38EF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303.84±253.50</w:t>
            </w:r>
          </w:p>
        </w:tc>
        <w:tc>
          <w:tcPr>
            <w:tcW w:w="1846" w:type="dxa"/>
            <w:vAlign w:val="center"/>
          </w:tcPr>
          <w:p w14:paraId="3550819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297.89±115.98</w:t>
            </w:r>
          </w:p>
        </w:tc>
        <w:tc>
          <w:tcPr>
            <w:tcW w:w="1944" w:type="dxa"/>
            <w:vAlign w:val="center"/>
          </w:tcPr>
          <w:p w14:paraId="6C880186"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333.57±416.19</w:t>
            </w:r>
          </w:p>
        </w:tc>
        <w:tc>
          <w:tcPr>
            <w:tcW w:w="1846" w:type="dxa"/>
            <w:vAlign w:val="center"/>
          </w:tcPr>
          <w:p w14:paraId="38AF6E1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282.19±62.20</w:t>
            </w:r>
          </w:p>
        </w:tc>
        <w:tc>
          <w:tcPr>
            <w:tcW w:w="987" w:type="dxa"/>
            <w:vAlign w:val="center"/>
          </w:tcPr>
          <w:p w14:paraId="3D1E235F"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0.60</w:t>
            </w:r>
          </w:p>
        </w:tc>
        <w:tc>
          <w:tcPr>
            <w:tcW w:w="1076" w:type="dxa"/>
            <w:vAlign w:val="center"/>
          </w:tcPr>
          <w:p w14:paraId="483FB8E5"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0.44</w:t>
            </w:r>
          </w:p>
        </w:tc>
        <w:tc>
          <w:tcPr>
            <w:tcW w:w="1230" w:type="dxa"/>
            <w:vAlign w:val="center"/>
          </w:tcPr>
          <w:p w14:paraId="4FA50AAC"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0.34</w:t>
            </w:r>
          </w:p>
        </w:tc>
      </w:tr>
      <w:tr w:rsidR="00944778" w:rsidRPr="000F1953" w14:paraId="184332E5" w14:textId="77777777" w:rsidTr="005A01C0">
        <w:trPr>
          <w:trHeight w:val="248"/>
          <w:jc w:val="center"/>
        </w:trPr>
        <w:tc>
          <w:tcPr>
            <w:tcW w:w="2932" w:type="dxa"/>
          </w:tcPr>
          <w:p w14:paraId="0CA70702"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Ferritin (</w:t>
            </w:r>
            <w:r w:rsidRPr="000F1953">
              <w:rPr>
                <w:rFonts w:asciiTheme="majorBidi" w:hAnsiTheme="majorBidi" w:cstheme="majorBidi"/>
                <w:sz w:val="20"/>
                <w:szCs w:val="20"/>
                <w:lang w:bidi="fa-IR"/>
              </w:rPr>
              <w:t>ng/mL)</w:t>
            </w:r>
          </w:p>
        </w:tc>
        <w:tc>
          <w:tcPr>
            <w:tcW w:w="1547" w:type="dxa"/>
            <w:vAlign w:val="center"/>
          </w:tcPr>
          <w:p w14:paraId="7EC47F6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368.05±560.76</w:t>
            </w:r>
          </w:p>
        </w:tc>
        <w:tc>
          <w:tcPr>
            <w:tcW w:w="1846" w:type="dxa"/>
            <w:vAlign w:val="center"/>
          </w:tcPr>
          <w:p w14:paraId="5359CFDE"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335.93±327.12</w:t>
            </w:r>
          </w:p>
        </w:tc>
        <w:tc>
          <w:tcPr>
            <w:tcW w:w="1944" w:type="dxa"/>
            <w:vAlign w:val="center"/>
          </w:tcPr>
          <w:p w14:paraId="37884BF2"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569.72±924.14</w:t>
            </w:r>
          </w:p>
        </w:tc>
        <w:tc>
          <w:tcPr>
            <w:tcW w:w="1846" w:type="dxa"/>
            <w:vAlign w:val="center"/>
          </w:tcPr>
          <w:p w14:paraId="02D643A8"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258.38±276.31</w:t>
            </w:r>
          </w:p>
        </w:tc>
        <w:tc>
          <w:tcPr>
            <w:tcW w:w="987" w:type="dxa"/>
            <w:shd w:val="clear" w:color="auto" w:fill="FFFFFF" w:themeFill="background1"/>
            <w:vAlign w:val="center"/>
          </w:tcPr>
          <w:p w14:paraId="70EE351B"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0.09</w:t>
            </w:r>
          </w:p>
        </w:tc>
        <w:tc>
          <w:tcPr>
            <w:tcW w:w="1076" w:type="dxa"/>
            <w:shd w:val="clear" w:color="auto" w:fill="FFFFFF" w:themeFill="background1"/>
            <w:vAlign w:val="center"/>
          </w:tcPr>
          <w:p w14:paraId="7D784C09"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0.20</w:t>
            </w:r>
          </w:p>
        </w:tc>
        <w:tc>
          <w:tcPr>
            <w:tcW w:w="1230" w:type="dxa"/>
            <w:shd w:val="clear" w:color="auto" w:fill="EDEDED" w:themeFill="accent3" w:themeFillTint="33"/>
            <w:vAlign w:val="center"/>
          </w:tcPr>
          <w:p w14:paraId="0B09F686"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0.02</w:t>
            </w:r>
          </w:p>
        </w:tc>
      </w:tr>
      <w:tr w:rsidR="00944778" w:rsidRPr="000F1953" w14:paraId="76A2A551" w14:textId="77777777" w:rsidTr="005A01C0">
        <w:trPr>
          <w:trHeight w:val="248"/>
          <w:jc w:val="center"/>
        </w:trPr>
        <w:tc>
          <w:tcPr>
            <w:tcW w:w="2932" w:type="dxa"/>
          </w:tcPr>
          <w:p w14:paraId="65044837"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Fe (</w:t>
            </w:r>
            <w:r w:rsidRPr="000F1953">
              <w:rPr>
                <w:rFonts w:asciiTheme="majorBidi" w:hAnsiTheme="majorBidi" w:cstheme="majorBidi"/>
                <w:sz w:val="20"/>
                <w:szCs w:val="20"/>
                <w:lang w:bidi="fa-IR"/>
              </w:rPr>
              <w:t>µg/dL)</w:t>
            </w:r>
          </w:p>
        </w:tc>
        <w:tc>
          <w:tcPr>
            <w:tcW w:w="1547" w:type="dxa"/>
            <w:vAlign w:val="center"/>
          </w:tcPr>
          <w:p w14:paraId="70535BB1"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119.03±57.51</w:t>
            </w:r>
          </w:p>
        </w:tc>
        <w:tc>
          <w:tcPr>
            <w:tcW w:w="1846" w:type="dxa"/>
            <w:vAlign w:val="center"/>
          </w:tcPr>
          <w:p w14:paraId="48F17CD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130.70±83.21</w:t>
            </w:r>
          </w:p>
        </w:tc>
        <w:tc>
          <w:tcPr>
            <w:tcW w:w="1944" w:type="dxa"/>
            <w:vAlign w:val="center"/>
          </w:tcPr>
          <w:p w14:paraId="734F923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121.86±46.22</w:t>
            </w:r>
          </w:p>
        </w:tc>
        <w:tc>
          <w:tcPr>
            <w:tcW w:w="1846" w:type="dxa"/>
            <w:vAlign w:val="center"/>
          </w:tcPr>
          <w:p w14:paraId="4EA9D5D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109.34±44.64</w:t>
            </w:r>
          </w:p>
        </w:tc>
        <w:tc>
          <w:tcPr>
            <w:tcW w:w="987" w:type="dxa"/>
            <w:vAlign w:val="center"/>
          </w:tcPr>
          <w:p w14:paraId="647EB057"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0.55</w:t>
            </w:r>
          </w:p>
        </w:tc>
        <w:tc>
          <w:tcPr>
            <w:tcW w:w="1076" w:type="dxa"/>
            <w:vAlign w:val="center"/>
          </w:tcPr>
          <w:p w14:paraId="6B3FDBC2"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0.15</w:t>
            </w:r>
          </w:p>
        </w:tc>
        <w:tc>
          <w:tcPr>
            <w:tcW w:w="1230" w:type="dxa"/>
            <w:vAlign w:val="center"/>
          </w:tcPr>
          <w:p w14:paraId="0BDE9FBC"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0.14</w:t>
            </w:r>
          </w:p>
        </w:tc>
      </w:tr>
      <w:tr w:rsidR="00944778" w:rsidRPr="000F1953" w14:paraId="0B42CDCE" w14:textId="77777777" w:rsidTr="005A01C0">
        <w:trPr>
          <w:trHeight w:val="248"/>
          <w:jc w:val="center"/>
        </w:trPr>
        <w:tc>
          <w:tcPr>
            <w:tcW w:w="2932" w:type="dxa"/>
            <w:shd w:val="clear" w:color="auto" w:fill="D0CECE" w:themeFill="background2" w:themeFillShade="E6"/>
          </w:tcPr>
          <w:p w14:paraId="58AD1334"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Liver Function Tests</w:t>
            </w:r>
          </w:p>
        </w:tc>
        <w:tc>
          <w:tcPr>
            <w:tcW w:w="1547" w:type="dxa"/>
            <w:shd w:val="clear" w:color="auto" w:fill="D0CECE" w:themeFill="background2" w:themeFillShade="E6"/>
            <w:vAlign w:val="center"/>
          </w:tcPr>
          <w:p w14:paraId="02C6989F"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17D9C05D" w14:textId="77777777" w:rsidR="00944778" w:rsidRPr="000F1953" w:rsidRDefault="00944778" w:rsidP="00C2358C">
            <w:pPr>
              <w:jc w:val="center"/>
              <w:rPr>
                <w:rFonts w:asciiTheme="majorBidi" w:hAnsiTheme="majorBidi" w:cstheme="majorBidi"/>
                <w:sz w:val="20"/>
                <w:szCs w:val="20"/>
              </w:rPr>
            </w:pPr>
          </w:p>
        </w:tc>
        <w:tc>
          <w:tcPr>
            <w:tcW w:w="1944" w:type="dxa"/>
            <w:shd w:val="clear" w:color="auto" w:fill="D0CECE" w:themeFill="background2" w:themeFillShade="E6"/>
            <w:vAlign w:val="center"/>
          </w:tcPr>
          <w:p w14:paraId="17B576E6"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279F0822" w14:textId="77777777" w:rsidR="00944778" w:rsidRPr="000F1953" w:rsidRDefault="00944778" w:rsidP="00C2358C">
            <w:pPr>
              <w:jc w:val="center"/>
              <w:rPr>
                <w:rFonts w:asciiTheme="majorBidi" w:hAnsiTheme="majorBidi" w:cstheme="majorBidi"/>
                <w:sz w:val="20"/>
                <w:szCs w:val="20"/>
              </w:rPr>
            </w:pPr>
          </w:p>
        </w:tc>
        <w:tc>
          <w:tcPr>
            <w:tcW w:w="987" w:type="dxa"/>
            <w:shd w:val="clear" w:color="auto" w:fill="D0CECE" w:themeFill="background2" w:themeFillShade="E6"/>
            <w:vAlign w:val="center"/>
          </w:tcPr>
          <w:p w14:paraId="1B07CB22" w14:textId="77777777" w:rsidR="00944778" w:rsidRPr="000F1953" w:rsidRDefault="00944778" w:rsidP="00C2358C">
            <w:pPr>
              <w:keepNext/>
              <w:jc w:val="center"/>
              <w:rPr>
                <w:rFonts w:asciiTheme="majorBidi" w:hAnsiTheme="majorBidi" w:cstheme="majorBidi"/>
                <w:sz w:val="20"/>
                <w:szCs w:val="20"/>
              </w:rPr>
            </w:pPr>
          </w:p>
        </w:tc>
        <w:tc>
          <w:tcPr>
            <w:tcW w:w="1076" w:type="dxa"/>
            <w:shd w:val="clear" w:color="auto" w:fill="D0CECE" w:themeFill="background2" w:themeFillShade="E6"/>
            <w:vAlign w:val="center"/>
          </w:tcPr>
          <w:p w14:paraId="15089578" w14:textId="77777777" w:rsidR="00944778" w:rsidRPr="000F1953" w:rsidRDefault="00944778" w:rsidP="00C2358C">
            <w:pPr>
              <w:keepNext/>
              <w:jc w:val="center"/>
              <w:rPr>
                <w:rFonts w:asciiTheme="majorBidi" w:hAnsiTheme="majorBidi" w:cstheme="majorBidi"/>
                <w:sz w:val="20"/>
                <w:szCs w:val="20"/>
              </w:rPr>
            </w:pPr>
          </w:p>
        </w:tc>
        <w:tc>
          <w:tcPr>
            <w:tcW w:w="1230" w:type="dxa"/>
            <w:shd w:val="clear" w:color="auto" w:fill="D0CECE" w:themeFill="background2" w:themeFillShade="E6"/>
            <w:vAlign w:val="center"/>
          </w:tcPr>
          <w:p w14:paraId="055AE654" w14:textId="77777777" w:rsidR="00944778" w:rsidRPr="000F1953" w:rsidRDefault="00944778" w:rsidP="00C2358C">
            <w:pPr>
              <w:keepNext/>
              <w:jc w:val="center"/>
              <w:rPr>
                <w:rFonts w:asciiTheme="majorBidi" w:hAnsiTheme="majorBidi" w:cstheme="majorBidi"/>
                <w:sz w:val="20"/>
                <w:szCs w:val="20"/>
              </w:rPr>
            </w:pPr>
          </w:p>
        </w:tc>
      </w:tr>
      <w:tr w:rsidR="00944778" w:rsidRPr="000F1953" w14:paraId="61163D6B" w14:textId="77777777" w:rsidTr="005A01C0">
        <w:trPr>
          <w:trHeight w:val="248"/>
          <w:jc w:val="center"/>
        </w:trPr>
        <w:tc>
          <w:tcPr>
            <w:tcW w:w="2932" w:type="dxa"/>
          </w:tcPr>
          <w:p w14:paraId="1CDE0E89"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ALT (U/L)</w:t>
            </w:r>
          </w:p>
        </w:tc>
        <w:tc>
          <w:tcPr>
            <w:tcW w:w="1547" w:type="dxa"/>
            <w:vAlign w:val="center"/>
          </w:tcPr>
          <w:p w14:paraId="0DE0682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24.33±17.41</w:t>
            </w:r>
          </w:p>
        </w:tc>
        <w:tc>
          <w:tcPr>
            <w:tcW w:w="1846" w:type="dxa"/>
            <w:vAlign w:val="center"/>
          </w:tcPr>
          <w:p w14:paraId="750947FB"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24.75±10.51</w:t>
            </w:r>
          </w:p>
        </w:tc>
        <w:tc>
          <w:tcPr>
            <w:tcW w:w="1944" w:type="dxa"/>
            <w:vAlign w:val="center"/>
          </w:tcPr>
          <w:p w14:paraId="001B6CE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26.04±26.71</w:t>
            </w:r>
          </w:p>
        </w:tc>
        <w:tc>
          <w:tcPr>
            <w:tcW w:w="1846" w:type="dxa"/>
            <w:vAlign w:val="center"/>
          </w:tcPr>
          <w:p w14:paraId="372CE7F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22.70±9.78</w:t>
            </w:r>
          </w:p>
        </w:tc>
        <w:tc>
          <w:tcPr>
            <w:tcW w:w="987" w:type="dxa"/>
            <w:vAlign w:val="center"/>
          </w:tcPr>
          <w:p w14:paraId="50CB4AEA"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0.78</w:t>
            </w:r>
          </w:p>
        </w:tc>
        <w:tc>
          <w:tcPr>
            <w:tcW w:w="1076" w:type="dxa"/>
            <w:vAlign w:val="center"/>
          </w:tcPr>
          <w:p w14:paraId="2205E1FB"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0.32</w:t>
            </w:r>
          </w:p>
        </w:tc>
        <w:tc>
          <w:tcPr>
            <w:tcW w:w="1230" w:type="dxa"/>
            <w:vAlign w:val="center"/>
          </w:tcPr>
          <w:p w14:paraId="56BB0E08"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0.40</w:t>
            </w:r>
          </w:p>
        </w:tc>
      </w:tr>
      <w:tr w:rsidR="00944778" w:rsidRPr="000F1953" w14:paraId="2CAC0D43" w14:textId="77777777" w:rsidTr="005A01C0">
        <w:trPr>
          <w:trHeight w:val="248"/>
          <w:jc w:val="center"/>
        </w:trPr>
        <w:tc>
          <w:tcPr>
            <w:tcW w:w="2932" w:type="dxa"/>
          </w:tcPr>
          <w:p w14:paraId="2D3F1D05"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AST (U/L)</w:t>
            </w:r>
          </w:p>
        </w:tc>
        <w:tc>
          <w:tcPr>
            <w:tcW w:w="1547" w:type="dxa"/>
            <w:vAlign w:val="center"/>
          </w:tcPr>
          <w:p w14:paraId="694918E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26.38±13.03</w:t>
            </w:r>
          </w:p>
        </w:tc>
        <w:tc>
          <w:tcPr>
            <w:tcW w:w="1846" w:type="dxa"/>
            <w:vAlign w:val="center"/>
          </w:tcPr>
          <w:p w14:paraId="344DA98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27.32±12.21</w:t>
            </w:r>
          </w:p>
        </w:tc>
        <w:tc>
          <w:tcPr>
            <w:tcW w:w="1944" w:type="dxa"/>
            <w:vAlign w:val="center"/>
          </w:tcPr>
          <w:p w14:paraId="226D04F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29.10±17.57</w:t>
            </w:r>
          </w:p>
        </w:tc>
        <w:tc>
          <w:tcPr>
            <w:tcW w:w="1846" w:type="dxa"/>
            <w:vAlign w:val="center"/>
          </w:tcPr>
          <w:p w14:paraId="4B656E85"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23.62±7.90</w:t>
            </w:r>
          </w:p>
        </w:tc>
        <w:tc>
          <w:tcPr>
            <w:tcW w:w="987" w:type="dxa"/>
            <w:vAlign w:val="center"/>
          </w:tcPr>
          <w:p w14:paraId="0D4DD3E3"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0.60</w:t>
            </w:r>
          </w:p>
        </w:tc>
        <w:tc>
          <w:tcPr>
            <w:tcW w:w="1076" w:type="dxa"/>
            <w:vAlign w:val="center"/>
          </w:tcPr>
          <w:p w14:paraId="7DC670B2"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0.10</w:t>
            </w:r>
          </w:p>
        </w:tc>
        <w:tc>
          <w:tcPr>
            <w:tcW w:w="1230" w:type="dxa"/>
            <w:shd w:val="clear" w:color="auto" w:fill="EDEDED" w:themeFill="accent3" w:themeFillTint="33"/>
            <w:vAlign w:val="center"/>
          </w:tcPr>
          <w:p w14:paraId="40DE5693"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0.03</w:t>
            </w:r>
          </w:p>
        </w:tc>
      </w:tr>
      <w:tr w:rsidR="00944778" w:rsidRPr="000F1953" w14:paraId="2D695442" w14:textId="77777777" w:rsidTr="005A01C0">
        <w:trPr>
          <w:trHeight w:val="248"/>
          <w:jc w:val="center"/>
        </w:trPr>
        <w:tc>
          <w:tcPr>
            <w:tcW w:w="2932" w:type="dxa"/>
            <w:shd w:val="clear" w:color="auto" w:fill="D0CECE" w:themeFill="background2" w:themeFillShade="E6"/>
          </w:tcPr>
          <w:p w14:paraId="5F857E3B" w14:textId="77777777" w:rsidR="00944778" w:rsidRPr="000F1953" w:rsidRDefault="00944778" w:rsidP="00C2358C">
            <w:pPr>
              <w:jc w:val="both"/>
              <w:rPr>
                <w:rFonts w:asciiTheme="majorBidi" w:hAnsiTheme="majorBidi" w:cstheme="majorBidi"/>
                <w:sz w:val="20"/>
                <w:szCs w:val="20"/>
              </w:rPr>
            </w:pPr>
            <w:r w:rsidRPr="000F1953">
              <w:rPr>
                <w:rFonts w:asciiTheme="majorBidi" w:hAnsiTheme="majorBidi" w:cstheme="majorBidi"/>
                <w:sz w:val="20"/>
                <w:szCs w:val="20"/>
              </w:rPr>
              <w:t>Inflammatory Marker</w:t>
            </w:r>
          </w:p>
        </w:tc>
        <w:tc>
          <w:tcPr>
            <w:tcW w:w="1547" w:type="dxa"/>
            <w:shd w:val="clear" w:color="auto" w:fill="D0CECE" w:themeFill="background2" w:themeFillShade="E6"/>
            <w:vAlign w:val="center"/>
          </w:tcPr>
          <w:p w14:paraId="1F4894CC"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3E811726" w14:textId="77777777" w:rsidR="00944778" w:rsidRPr="000F1953" w:rsidRDefault="00944778" w:rsidP="00C2358C">
            <w:pPr>
              <w:jc w:val="center"/>
              <w:rPr>
                <w:rFonts w:asciiTheme="majorBidi" w:hAnsiTheme="majorBidi" w:cstheme="majorBidi"/>
                <w:sz w:val="20"/>
                <w:szCs w:val="20"/>
              </w:rPr>
            </w:pPr>
          </w:p>
        </w:tc>
        <w:tc>
          <w:tcPr>
            <w:tcW w:w="1944" w:type="dxa"/>
            <w:shd w:val="clear" w:color="auto" w:fill="D0CECE" w:themeFill="background2" w:themeFillShade="E6"/>
            <w:vAlign w:val="center"/>
          </w:tcPr>
          <w:p w14:paraId="7961D9C1"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39EBAFDC" w14:textId="77777777" w:rsidR="00944778" w:rsidRPr="000F1953" w:rsidRDefault="00944778" w:rsidP="00C2358C">
            <w:pPr>
              <w:jc w:val="center"/>
              <w:rPr>
                <w:rFonts w:asciiTheme="majorBidi" w:hAnsiTheme="majorBidi" w:cstheme="majorBidi"/>
                <w:sz w:val="20"/>
                <w:szCs w:val="20"/>
              </w:rPr>
            </w:pPr>
          </w:p>
        </w:tc>
        <w:tc>
          <w:tcPr>
            <w:tcW w:w="987" w:type="dxa"/>
            <w:shd w:val="clear" w:color="auto" w:fill="D0CECE" w:themeFill="background2" w:themeFillShade="E6"/>
            <w:vAlign w:val="center"/>
          </w:tcPr>
          <w:p w14:paraId="21C65062" w14:textId="77777777" w:rsidR="00944778" w:rsidRPr="000F1953" w:rsidRDefault="00944778" w:rsidP="00C2358C">
            <w:pPr>
              <w:keepNext/>
              <w:jc w:val="center"/>
              <w:rPr>
                <w:rFonts w:asciiTheme="majorBidi" w:hAnsiTheme="majorBidi" w:cstheme="majorBidi"/>
                <w:sz w:val="20"/>
                <w:szCs w:val="20"/>
              </w:rPr>
            </w:pPr>
          </w:p>
        </w:tc>
        <w:tc>
          <w:tcPr>
            <w:tcW w:w="1076" w:type="dxa"/>
            <w:shd w:val="clear" w:color="auto" w:fill="D0CECE" w:themeFill="background2" w:themeFillShade="E6"/>
            <w:vAlign w:val="center"/>
          </w:tcPr>
          <w:p w14:paraId="500681B0" w14:textId="77777777" w:rsidR="00944778" w:rsidRPr="000F1953" w:rsidRDefault="00944778" w:rsidP="00C2358C">
            <w:pPr>
              <w:keepNext/>
              <w:jc w:val="center"/>
              <w:rPr>
                <w:rFonts w:asciiTheme="majorBidi" w:hAnsiTheme="majorBidi" w:cstheme="majorBidi"/>
                <w:sz w:val="20"/>
                <w:szCs w:val="20"/>
              </w:rPr>
            </w:pPr>
          </w:p>
        </w:tc>
        <w:tc>
          <w:tcPr>
            <w:tcW w:w="1230" w:type="dxa"/>
            <w:shd w:val="clear" w:color="auto" w:fill="D0CECE" w:themeFill="background2" w:themeFillShade="E6"/>
            <w:vAlign w:val="center"/>
          </w:tcPr>
          <w:p w14:paraId="24AA1EB9" w14:textId="77777777" w:rsidR="00944778" w:rsidRPr="000F1953" w:rsidRDefault="00944778" w:rsidP="00C2358C">
            <w:pPr>
              <w:keepNext/>
              <w:jc w:val="center"/>
              <w:rPr>
                <w:rFonts w:asciiTheme="majorBidi" w:hAnsiTheme="majorBidi" w:cstheme="majorBidi"/>
                <w:sz w:val="20"/>
                <w:szCs w:val="20"/>
              </w:rPr>
            </w:pPr>
          </w:p>
        </w:tc>
      </w:tr>
      <w:tr w:rsidR="00944778" w:rsidRPr="000F1953" w14:paraId="5C70621B" w14:textId="77777777" w:rsidTr="005A01C0">
        <w:trPr>
          <w:trHeight w:val="248"/>
          <w:jc w:val="center"/>
        </w:trPr>
        <w:tc>
          <w:tcPr>
            <w:tcW w:w="2932" w:type="dxa"/>
          </w:tcPr>
          <w:p w14:paraId="3CD23288"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Total Bilirubin (</w:t>
            </w:r>
            <w:r w:rsidRPr="000F1953">
              <w:rPr>
                <w:rFonts w:asciiTheme="majorBidi" w:hAnsiTheme="majorBidi" w:cstheme="majorBidi"/>
                <w:sz w:val="20"/>
                <w:szCs w:val="20"/>
                <w:lang w:bidi="fa-IR"/>
              </w:rPr>
              <w:t>mg/dL)</w:t>
            </w:r>
          </w:p>
        </w:tc>
        <w:tc>
          <w:tcPr>
            <w:tcW w:w="1547" w:type="dxa"/>
            <w:vAlign w:val="center"/>
          </w:tcPr>
          <w:p w14:paraId="66E95AFA"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4.39±24.45</w:t>
            </w:r>
          </w:p>
        </w:tc>
        <w:tc>
          <w:tcPr>
            <w:tcW w:w="1846" w:type="dxa"/>
            <w:vAlign w:val="center"/>
          </w:tcPr>
          <w:p w14:paraId="2154254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2.56±2.18</w:t>
            </w:r>
          </w:p>
        </w:tc>
        <w:tc>
          <w:tcPr>
            <w:tcW w:w="1944" w:type="dxa"/>
            <w:vAlign w:val="center"/>
          </w:tcPr>
          <w:p w14:paraId="3426E352"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2.65±2.41</w:t>
            </w:r>
          </w:p>
        </w:tc>
        <w:tc>
          <w:tcPr>
            <w:tcW w:w="1846" w:type="dxa"/>
            <w:vAlign w:val="center"/>
          </w:tcPr>
          <w:p w14:paraId="52EB820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6.99±38.28</w:t>
            </w:r>
          </w:p>
        </w:tc>
        <w:tc>
          <w:tcPr>
            <w:tcW w:w="987" w:type="dxa"/>
            <w:vAlign w:val="center"/>
          </w:tcPr>
          <w:p w14:paraId="2FE90E95"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0.86</w:t>
            </w:r>
          </w:p>
        </w:tc>
        <w:tc>
          <w:tcPr>
            <w:tcW w:w="1076" w:type="dxa"/>
            <w:vAlign w:val="center"/>
          </w:tcPr>
          <w:p w14:paraId="1AE12626"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0.37</w:t>
            </w:r>
          </w:p>
        </w:tc>
        <w:tc>
          <w:tcPr>
            <w:tcW w:w="1230" w:type="dxa"/>
            <w:vAlign w:val="center"/>
          </w:tcPr>
          <w:p w14:paraId="4A81463D"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0.41</w:t>
            </w:r>
          </w:p>
        </w:tc>
      </w:tr>
      <w:tr w:rsidR="00944778" w:rsidRPr="000F1953" w14:paraId="37CDA1FF" w14:textId="77777777" w:rsidTr="005A01C0">
        <w:trPr>
          <w:trHeight w:val="248"/>
          <w:jc w:val="center"/>
        </w:trPr>
        <w:tc>
          <w:tcPr>
            <w:tcW w:w="2932" w:type="dxa"/>
          </w:tcPr>
          <w:p w14:paraId="5E709EBE"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CRP (</w:t>
            </w:r>
            <w:r w:rsidRPr="000F1953">
              <w:rPr>
                <w:rFonts w:asciiTheme="majorBidi" w:hAnsiTheme="majorBidi" w:cstheme="majorBidi"/>
                <w:sz w:val="20"/>
                <w:szCs w:val="20"/>
                <w:lang w:bidi="fa-IR"/>
              </w:rPr>
              <w:t>mg/L)</w:t>
            </w:r>
          </w:p>
        </w:tc>
        <w:tc>
          <w:tcPr>
            <w:tcW w:w="1547" w:type="dxa"/>
            <w:vAlign w:val="center"/>
          </w:tcPr>
          <w:p w14:paraId="2186BF4F"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2.66±2.56</w:t>
            </w:r>
          </w:p>
        </w:tc>
        <w:tc>
          <w:tcPr>
            <w:tcW w:w="1846" w:type="dxa"/>
            <w:vAlign w:val="center"/>
          </w:tcPr>
          <w:p w14:paraId="4965FCD6"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1.86±1.28</w:t>
            </w:r>
          </w:p>
        </w:tc>
        <w:tc>
          <w:tcPr>
            <w:tcW w:w="1944" w:type="dxa"/>
            <w:vAlign w:val="center"/>
          </w:tcPr>
          <w:p w14:paraId="68A16DFD"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3.65±3.85</w:t>
            </w:r>
          </w:p>
        </w:tc>
        <w:tc>
          <w:tcPr>
            <w:tcW w:w="1846" w:type="dxa"/>
            <w:vAlign w:val="center"/>
          </w:tcPr>
          <w:p w14:paraId="1405715C"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2.40±1.47</w:t>
            </w:r>
          </w:p>
        </w:tc>
        <w:tc>
          <w:tcPr>
            <w:tcW w:w="987" w:type="dxa"/>
            <w:shd w:val="clear" w:color="auto" w:fill="EDEDED" w:themeFill="accent3" w:themeFillTint="33"/>
            <w:vAlign w:val="center"/>
          </w:tcPr>
          <w:p w14:paraId="2FDA7FDC"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0.005</w:t>
            </w:r>
          </w:p>
        </w:tc>
        <w:tc>
          <w:tcPr>
            <w:tcW w:w="1076" w:type="dxa"/>
            <w:vAlign w:val="center"/>
          </w:tcPr>
          <w:p w14:paraId="6C67DF8E"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0.07</w:t>
            </w:r>
          </w:p>
        </w:tc>
        <w:tc>
          <w:tcPr>
            <w:tcW w:w="1230" w:type="dxa"/>
            <w:shd w:val="clear" w:color="auto" w:fill="EDEDED" w:themeFill="accent3" w:themeFillTint="33"/>
            <w:vAlign w:val="center"/>
          </w:tcPr>
          <w:p w14:paraId="67F8331C"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0.04</w:t>
            </w:r>
          </w:p>
        </w:tc>
      </w:tr>
      <w:tr w:rsidR="00944778" w:rsidRPr="000F1953" w14:paraId="45827B97" w14:textId="77777777" w:rsidTr="005A01C0">
        <w:trPr>
          <w:trHeight w:val="248"/>
          <w:jc w:val="center"/>
        </w:trPr>
        <w:tc>
          <w:tcPr>
            <w:tcW w:w="2932" w:type="dxa"/>
            <w:shd w:val="clear" w:color="auto" w:fill="D0CECE" w:themeFill="background2" w:themeFillShade="E6"/>
          </w:tcPr>
          <w:p w14:paraId="66CC91E5" w14:textId="77777777" w:rsidR="00944778" w:rsidRPr="000F1953" w:rsidRDefault="00944778" w:rsidP="00C2358C">
            <w:pPr>
              <w:ind w:left="166"/>
              <w:jc w:val="both"/>
              <w:rPr>
                <w:rFonts w:asciiTheme="majorBidi" w:hAnsiTheme="majorBidi" w:cstheme="majorBidi"/>
                <w:sz w:val="20"/>
                <w:szCs w:val="20"/>
              </w:rPr>
            </w:pPr>
            <w:r w:rsidRPr="000F1953">
              <w:rPr>
                <w:rFonts w:asciiTheme="majorBidi" w:hAnsiTheme="majorBidi" w:cstheme="majorBidi"/>
                <w:sz w:val="20"/>
                <w:szCs w:val="20"/>
              </w:rPr>
              <w:t>Splenectomy status</w:t>
            </w:r>
          </w:p>
        </w:tc>
        <w:tc>
          <w:tcPr>
            <w:tcW w:w="1547" w:type="dxa"/>
            <w:shd w:val="clear" w:color="auto" w:fill="D0CECE" w:themeFill="background2" w:themeFillShade="E6"/>
            <w:vAlign w:val="center"/>
          </w:tcPr>
          <w:p w14:paraId="5105EB5C" w14:textId="77777777" w:rsidR="00944778" w:rsidRPr="000F1953" w:rsidRDefault="00944778" w:rsidP="00C2358C">
            <w:pPr>
              <w:jc w:val="center"/>
              <w:rPr>
                <w:rFonts w:asciiTheme="majorBidi" w:hAnsiTheme="majorBidi" w:cstheme="majorBidi"/>
                <w:sz w:val="20"/>
                <w:szCs w:val="20"/>
                <w:rtl/>
                <w:lang w:bidi="fa-IR"/>
              </w:rPr>
            </w:pPr>
          </w:p>
        </w:tc>
        <w:tc>
          <w:tcPr>
            <w:tcW w:w="1846" w:type="dxa"/>
            <w:shd w:val="clear" w:color="auto" w:fill="D0CECE" w:themeFill="background2" w:themeFillShade="E6"/>
            <w:vAlign w:val="center"/>
          </w:tcPr>
          <w:p w14:paraId="6B231B36" w14:textId="77777777" w:rsidR="00944778" w:rsidRPr="000F1953" w:rsidRDefault="00944778" w:rsidP="00C2358C">
            <w:pPr>
              <w:jc w:val="center"/>
              <w:rPr>
                <w:rFonts w:asciiTheme="majorBidi" w:hAnsiTheme="majorBidi" w:cstheme="majorBidi"/>
                <w:sz w:val="20"/>
                <w:szCs w:val="20"/>
              </w:rPr>
            </w:pPr>
          </w:p>
        </w:tc>
        <w:tc>
          <w:tcPr>
            <w:tcW w:w="1944" w:type="dxa"/>
            <w:shd w:val="clear" w:color="auto" w:fill="D0CECE" w:themeFill="background2" w:themeFillShade="E6"/>
            <w:vAlign w:val="center"/>
          </w:tcPr>
          <w:p w14:paraId="3CD7CAF2" w14:textId="77777777" w:rsidR="00944778" w:rsidRPr="000F1953" w:rsidRDefault="00944778" w:rsidP="00C2358C">
            <w:pPr>
              <w:jc w:val="center"/>
              <w:rPr>
                <w:rFonts w:asciiTheme="majorBidi" w:hAnsiTheme="majorBidi" w:cstheme="majorBidi"/>
                <w:sz w:val="20"/>
                <w:szCs w:val="20"/>
              </w:rPr>
            </w:pPr>
          </w:p>
        </w:tc>
        <w:tc>
          <w:tcPr>
            <w:tcW w:w="1846" w:type="dxa"/>
            <w:shd w:val="clear" w:color="auto" w:fill="D0CECE" w:themeFill="background2" w:themeFillShade="E6"/>
            <w:vAlign w:val="center"/>
          </w:tcPr>
          <w:p w14:paraId="3D918825" w14:textId="77777777" w:rsidR="00944778" w:rsidRPr="000F1953" w:rsidRDefault="00944778" w:rsidP="00C2358C">
            <w:pPr>
              <w:jc w:val="center"/>
              <w:rPr>
                <w:rFonts w:asciiTheme="majorBidi" w:hAnsiTheme="majorBidi" w:cstheme="majorBidi"/>
                <w:sz w:val="20"/>
                <w:szCs w:val="20"/>
              </w:rPr>
            </w:pPr>
          </w:p>
        </w:tc>
        <w:tc>
          <w:tcPr>
            <w:tcW w:w="987" w:type="dxa"/>
            <w:shd w:val="clear" w:color="auto" w:fill="D0CECE" w:themeFill="background2" w:themeFillShade="E6"/>
            <w:vAlign w:val="center"/>
          </w:tcPr>
          <w:p w14:paraId="1320D24E" w14:textId="77777777" w:rsidR="00944778" w:rsidRPr="000F1953" w:rsidRDefault="00944778" w:rsidP="00C2358C">
            <w:pPr>
              <w:keepNext/>
              <w:jc w:val="center"/>
              <w:rPr>
                <w:rFonts w:asciiTheme="majorBidi" w:hAnsiTheme="majorBidi" w:cstheme="majorBidi"/>
                <w:sz w:val="20"/>
                <w:szCs w:val="20"/>
              </w:rPr>
            </w:pPr>
          </w:p>
        </w:tc>
        <w:tc>
          <w:tcPr>
            <w:tcW w:w="1076" w:type="dxa"/>
            <w:shd w:val="clear" w:color="auto" w:fill="D0CECE" w:themeFill="background2" w:themeFillShade="E6"/>
            <w:vAlign w:val="center"/>
          </w:tcPr>
          <w:p w14:paraId="6D30AC29" w14:textId="77777777" w:rsidR="00944778" w:rsidRPr="000F1953" w:rsidRDefault="00944778" w:rsidP="00C2358C">
            <w:pPr>
              <w:keepNext/>
              <w:jc w:val="center"/>
              <w:rPr>
                <w:rFonts w:asciiTheme="majorBidi" w:hAnsiTheme="majorBidi" w:cstheme="majorBidi"/>
                <w:sz w:val="20"/>
                <w:szCs w:val="20"/>
              </w:rPr>
            </w:pPr>
          </w:p>
        </w:tc>
        <w:tc>
          <w:tcPr>
            <w:tcW w:w="1230" w:type="dxa"/>
            <w:shd w:val="clear" w:color="auto" w:fill="D0CECE" w:themeFill="background2" w:themeFillShade="E6"/>
            <w:vAlign w:val="center"/>
          </w:tcPr>
          <w:p w14:paraId="7F499913" w14:textId="77777777" w:rsidR="00944778" w:rsidRPr="000F1953" w:rsidRDefault="00944778" w:rsidP="00C2358C">
            <w:pPr>
              <w:keepNext/>
              <w:jc w:val="center"/>
              <w:rPr>
                <w:rFonts w:asciiTheme="majorBidi" w:hAnsiTheme="majorBidi" w:cstheme="majorBidi"/>
                <w:sz w:val="20"/>
                <w:szCs w:val="20"/>
              </w:rPr>
            </w:pPr>
          </w:p>
        </w:tc>
      </w:tr>
      <w:tr w:rsidR="00944778" w:rsidRPr="000F1953" w14:paraId="79E60E36" w14:textId="77777777" w:rsidTr="005A01C0">
        <w:trPr>
          <w:trHeight w:val="248"/>
          <w:jc w:val="center"/>
        </w:trPr>
        <w:tc>
          <w:tcPr>
            <w:tcW w:w="2932" w:type="dxa"/>
          </w:tcPr>
          <w:p w14:paraId="39CC3C47" w14:textId="77777777" w:rsidR="00944778" w:rsidRPr="000F1953" w:rsidRDefault="00944778" w:rsidP="00C2358C">
            <w:pPr>
              <w:ind w:left="-20"/>
              <w:jc w:val="both"/>
              <w:rPr>
                <w:rFonts w:asciiTheme="majorBidi" w:hAnsiTheme="majorBidi" w:cstheme="majorBidi"/>
                <w:sz w:val="20"/>
                <w:szCs w:val="20"/>
              </w:rPr>
            </w:pPr>
            <w:r w:rsidRPr="000F1953">
              <w:rPr>
                <w:rFonts w:asciiTheme="majorBidi" w:hAnsiTheme="majorBidi" w:cstheme="majorBidi"/>
                <w:sz w:val="20"/>
                <w:szCs w:val="20"/>
              </w:rPr>
              <w:t xml:space="preserve">   SP</w:t>
            </w:r>
          </w:p>
        </w:tc>
        <w:tc>
          <w:tcPr>
            <w:tcW w:w="1547" w:type="dxa"/>
            <w:vAlign w:val="center"/>
          </w:tcPr>
          <w:p w14:paraId="6B314343"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22 (14.5%)</w:t>
            </w:r>
          </w:p>
        </w:tc>
        <w:tc>
          <w:tcPr>
            <w:tcW w:w="1846" w:type="dxa"/>
            <w:vAlign w:val="center"/>
          </w:tcPr>
          <w:p w14:paraId="5BEE4884"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2 (5.3%)</w:t>
            </w:r>
          </w:p>
        </w:tc>
        <w:tc>
          <w:tcPr>
            <w:tcW w:w="1944" w:type="dxa"/>
            <w:vAlign w:val="center"/>
          </w:tcPr>
          <w:p w14:paraId="5F60CE70"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13 (24.5%)</w:t>
            </w:r>
          </w:p>
        </w:tc>
        <w:tc>
          <w:tcPr>
            <w:tcW w:w="1846" w:type="dxa"/>
            <w:vAlign w:val="center"/>
          </w:tcPr>
          <w:p w14:paraId="1FDC7A67" w14:textId="77777777" w:rsidR="00944778" w:rsidRPr="000F1953" w:rsidRDefault="00944778" w:rsidP="00C2358C">
            <w:pPr>
              <w:jc w:val="center"/>
              <w:rPr>
                <w:rFonts w:asciiTheme="majorBidi" w:hAnsiTheme="majorBidi" w:cstheme="majorBidi"/>
                <w:sz w:val="20"/>
                <w:szCs w:val="20"/>
              </w:rPr>
            </w:pPr>
            <w:r w:rsidRPr="000F1953">
              <w:rPr>
                <w:rFonts w:asciiTheme="majorBidi" w:hAnsiTheme="majorBidi" w:cstheme="majorBidi"/>
                <w:sz w:val="20"/>
                <w:szCs w:val="20"/>
              </w:rPr>
              <w:t>7 (11.5%)</w:t>
            </w:r>
          </w:p>
        </w:tc>
        <w:tc>
          <w:tcPr>
            <w:tcW w:w="987" w:type="dxa"/>
            <w:shd w:val="clear" w:color="auto" w:fill="EDEDED" w:themeFill="accent3" w:themeFillTint="33"/>
            <w:vAlign w:val="center"/>
          </w:tcPr>
          <w:p w14:paraId="6850817B"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0.01</w:t>
            </w:r>
          </w:p>
        </w:tc>
        <w:tc>
          <w:tcPr>
            <w:tcW w:w="1076" w:type="dxa"/>
            <w:shd w:val="clear" w:color="auto" w:fill="FFFFFF" w:themeFill="background1"/>
            <w:vAlign w:val="center"/>
          </w:tcPr>
          <w:p w14:paraId="73843122"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0.29</w:t>
            </w:r>
          </w:p>
        </w:tc>
        <w:tc>
          <w:tcPr>
            <w:tcW w:w="1230" w:type="dxa"/>
            <w:shd w:val="clear" w:color="auto" w:fill="FFFFFF" w:themeFill="background1"/>
            <w:vAlign w:val="center"/>
          </w:tcPr>
          <w:p w14:paraId="315DE34F" w14:textId="77777777" w:rsidR="00944778" w:rsidRPr="000F1953" w:rsidRDefault="00944778" w:rsidP="00C2358C">
            <w:pPr>
              <w:keepNext/>
              <w:jc w:val="center"/>
              <w:rPr>
                <w:rFonts w:asciiTheme="majorBidi" w:hAnsiTheme="majorBidi" w:cstheme="majorBidi"/>
                <w:sz w:val="20"/>
                <w:szCs w:val="20"/>
              </w:rPr>
            </w:pPr>
            <w:r w:rsidRPr="000F1953">
              <w:rPr>
                <w:rFonts w:asciiTheme="majorBidi" w:hAnsiTheme="majorBidi" w:cstheme="majorBidi"/>
                <w:sz w:val="20"/>
                <w:szCs w:val="20"/>
              </w:rPr>
              <w:t>0.06</w:t>
            </w:r>
          </w:p>
        </w:tc>
      </w:tr>
    </w:tbl>
    <w:p w14:paraId="55729513" w14:textId="2FFC9AAD" w:rsidR="005715B0" w:rsidRPr="000F1953" w:rsidRDefault="005715B0" w:rsidP="00C2358C">
      <w:pPr>
        <w:spacing w:after="0" w:line="240" w:lineRule="auto"/>
        <w:jc w:val="both"/>
        <w:rPr>
          <w:rFonts w:asciiTheme="majorBidi" w:hAnsiTheme="majorBidi" w:cstheme="majorBidi"/>
          <w:sz w:val="24"/>
          <w:szCs w:val="24"/>
        </w:rPr>
      </w:pPr>
      <w:r w:rsidRPr="000F1953">
        <w:rPr>
          <w:rFonts w:asciiTheme="majorBidi" w:hAnsiTheme="majorBidi" w:cstheme="majorBidi"/>
          <w:sz w:val="24"/>
          <w:szCs w:val="24"/>
        </w:rPr>
        <w:t>*=</w:t>
      </w:r>
      <w:r w:rsidR="00153289" w:rsidRPr="000F1953">
        <w:rPr>
          <w:rFonts w:asciiTheme="majorBidi" w:hAnsiTheme="majorBidi" w:cstheme="majorBidi"/>
          <w:sz w:val="24"/>
          <w:szCs w:val="24"/>
        </w:rPr>
        <w:t xml:space="preserve"> comparison between ND/ND and ND/D groups</w:t>
      </w:r>
      <w:r w:rsidRPr="000F1953">
        <w:rPr>
          <w:rFonts w:asciiTheme="majorBidi" w:hAnsiTheme="majorBidi" w:cstheme="majorBidi"/>
          <w:sz w:val="24"/>
          <w:szCs w:val="24"/>
        </w:rPr>
        <w:t>, **=</w:t>
      </w:r>
      <w:r w:rsidR="00153289" w:rsidRPr="000F1953">
        <w:rPr>
          <w:rFonts w:asciiTheme="majorBidi" w:hAnsiTheme="majorBidi" w:cstheme="majorBidi"/>
          <w:sz w:val="24"/>
          <w:szCs w:val="24"/>
        </w:rPr>
        <w:t xml:space="preserve"> comparison between ND/ND and D/</w:t>
      </w:r>
      <w:r w:rsidR="00956941" w:rsidRPr="000F1953">
        <w:rPr>
          <w:rFonts w:asciiTheme="majorBidi" w:hAnsiTheme="majorBidi" w:cstheme="majorBidi"/>
          <w:sz w:val="24"/>
          <w:szCs w:val="24"/>
        </w:rPr>
        <w:t>D,</w:t>
      </w:r>
      <w:r w:rsidRPr="000F1953">
        <w:rPr>
          <w:rFonts w:asciiTheme="majorBidi" w:hAnsiTheme="majorBidi" w:cstheme="majorBidi"/>
          <w:sz w:val="24"/>
          <w:szCs w:val="24"/>
        </w:rPr>
        <w:t xml:space="preserve"> ***=</w:t>
      </w:r>
      <w:r w:rsidR="00153289" w:rsidRPr="000F1953">
        <w:rPr>
          <w:rFonts w:asciiTheme="majorBidi" w:hAnsiTheme="majorBidi" w:cstheme="majorBidi"/>
          <w:sz w:val="24"/>
          <w:szCs w:val="24"/>
        </w:rPr>
        <w:t xml:space="preserve"> comparison between ND/D and D/D,</w:t>
      </w:r>
      <w:r w:rsidRPr="000F1953">
        <w:rPr>
          <w:rFonts w:asciiTheme="majorBidi" w:hAnsiTheme="majorBidi" w:cstheme="majorBidi"/>
          <w:sz w:val="24"/>
          <w:szCs w:val="24"/>
        </w:rPr>
        <w:t xml:space="preserve"> Abbreviations: a= mean±</w:t>
      </w:r>
      <w:r w:rsidR="00153289" w:rsidRPr="000F1953">
        <w:rPr>
          <w:rFonts w:asciiTheme="majorBidi" w:hAnsiTheme="majorBidi" w:cstheme="majorBidi"/>
          <w:sz w:val="24"/>
          <w:szCs w:val="24"/>
        </w:rPr>
        <w:t xml:space="preserve"> </w:t>
      </w:r>
      <w:r w:rsidRPr="000F1953">
        <w:rPr>
          <w:rFonts w:asciiTheme="majorBidi" w:hAnsiTheme="majorBidi" w:cstheme="majorBidi"/>
          <w:sz w:val="24"/>
          <w:szCs w:val="24"/>
        </w:rPr>
        <w:t>SD; b=</w:t>
      </w:r>
      <w:r w:rsidR="00153289" w:rsidRPr="000F1953">
        <w:rPr>
          <w:rFonts w:asciiTheme="majorBidi" w:hAnsiTheme="majorBidi" w:cstheme="majorBidi"/>
          <w:sz w:val="24"/>
          <w:szCs w:val="24"/>
        </w:rPr>
        <w:t xml:space="preserve"> </w:t>
      </w:r>
      <w:r w:rsidRPr="000F1953">
        <w:rPr>
          <w:rFonts w:asciiTheme="majorBidi" w:hAnsiTheme="majorBidi" w:cstheme="majorBidi"/>
          <w:sz w:val="24"/>
          <w:szCs w:val="24"/>
        </w:rPr>
        <w:t>mean±</w:t>
      </w:r>
      <w:r w:rsidR="00153289" w:rsidRPr="000F1953">
        <w:rPr>
          <w:rFonts w:asciiTheme="majorBidi" w:hAnsiTheme="majorBidi" w:cstheme="majorBidi"/>
          <w:sz w:val="24"/>
          <w:szCs w:val="24"/>
        </w:rPr>
        <w:t xml:space="preserve"> </w:t>
      </w:r>
      <w:r w:rsidRPr="000F1953">
        <w:rPr>
          <w:rFonts w:asciiTheme="majorBidi" w:hAnsiTheme="majorBidi" w:cstheme="majorBidi"/>
          <w:sz w:val="24"/>
          <w:szCs w:val="24"/>
        </w:rPr>
        <w:t>SD; MDA=Malondialdehyde; GDF-15=Growth Differentiation Factor 15, SP= Splenectomized patients</w:t>
      </w:r>
    </w:p>
    <w:p w14:paraId="27CDEB6C" w14:textId="77777777" w:rsidR="005715B0" w:rsidRPr="000F1953" w:rsidRDefault="005715B0" w:rsidP="00C2358C">
      <w:pPr>
        <w:spacing w:after="0" w:line="240" w:lineRule="auto"/>
        <w:ind w:left="-540"/>
        <w:jc w:val="both"/>
        <w:rPr>
          <w:rFonts w:asciiTheme="majorBidi" w:hAnsiTheme="majorBidi" w:cstheme="majorBidi"/>
          <w:sz w:val="24"/>
          <w:szCs w:val="24"/>
        </w:rPr>
      </w:pPr>
    </w:p>
    <w:p w14:paraId="3C60FBF4" w14:textId="0BD2725D" w:rsidR="00CE0F9E" w:rsidRPr="000F1953" w:rsidRDefault="00CE0F9E" w:rsidP="00C2358C">
      <w:pPr>
        <w:spacing w:line="240" w:lineRule="auto"/>
        <w:jc w:val="both"/>
        <w:rPr>
          <w:rFonts w:asciiTheme="majorBidi" w:hAnsiTheme="majorBidi" w:cstheme="majorBidi"/>
          <w:sz w:val="24"/>
          <w:szCs w:val="24"/>
          <w:rtl/>
          <w:lang w:bidi="fa-IR"/>
        </w:rPr>
      </w:pPr>
    </w:p>
    <w:p w14:paraId="237A0C24" w14:textId="40380A7F" w:rsidR="00CE0F9E" w:rsidRPr="000F1953" w:rsidRDefault="00CE0F9E" w:rsidP="00C2358C">
      <w:pPr>
        <w:spacing w:line="240" w:lineRule="auto"/>
        <w:jc w:val="both"/>
        <w:rPr>
          <w:rFonts w:asciiTheme="majorBidi" w:hAnsiTheme="majorBidi" w:cstheme="majorBidi"/>
          <w:sz w:val="24"/>
          <w:szCs w:val="24"/>
          <w:rtl/>
          <w:lang w:bidi="fa-IR"/>
        </w:rPr>
      </w:pPr>
    </w:p>
    <w:p w14:paraId="5C6A5F98" w14:textId="77777777" w:rsidR="005715B0" w:rsidRPr="000F1953" w:rsidRDefault="005715B0" w:rsidP="00C2358C">
      <w:pPr>
        <w:spacing w:line="240" w:lineRule="auto"/>
        <w:jc w:val="both"/>
        <w:rPr>
          <w:rFonts w:asciiTheme="majorBidi" w:hAnsiTheme="majorBidi" w:cstheme="majorBidi"/>
          <w:sz w:val="24"/>
          <w:szCs w:val="24"/>
          <w:lang w:bidi="fa-IR"/>
        </w:rPr>
        <w:sectPr w:rsidR="005715B0" w:rsidRPr="000F1953" w:rsidSect="00FA0194">
          <w:pgSz w:w="15840" w:h="12240" w:orient="landscape"/>
          <w:pgMar w:top="1440" w:right="1440" w:bottom="1440" w:left="1440" w:header="720" w:footer="720" w:gutter="0"/>
          <w:cols w:space="720"/>
          <w:docGrid w:linePitch="360"/>
        </w:sectPr>
      </w:pPr>
    </w:p>
    <w:tbl>
      <w:tblPr>
        <w:tblStyle w:val="TableGrid"/>
        <w:tblpPr w:leftFromText="180" w:rightFromText="180" w:horzAnchor="margin" w:tblpXSpec="center" w:tblpY="540"/>
        <w:tblW w:w="7915" w:type="dxa"/>
        <w:tblLook w:val="04A0" w:firstRow="1" w:lastRow="0" w:firstColumn="1" w:lastColumn="0" w:noHBand="0" w:noVBand="1"/>
      </w:tblPr>
      <w:tblGrid>
        <w:gridCol w:w="2605"/>
        <w:gridCol w:w="1445"/>
        <w:gridCol w:w="1253"/>
        <w:gridCol w:w="1262"/>
        <w:gridCol w:w="1350"/>
      </w:tblGrid>
      <w:tr w:rsidR="009566A4" w:rsidRPr="000F1953" w14:paraId="53C00D3A" w14:textId="77777777" w:rsidTr="009566A4">
        <w:trPr>
          <w:trHeight w:val="506"/>
        </w:trPr>
        <w:tc>
          <w:tcPr>
            <w:tcW w:w="7915" w:type="dxa"/>
            <w:gridSpan w:val="5"/>
            <w:tcBorders>
              <w:top w:val="nil"/>
              <w:left w:val="nil"/>
              <w:right w:val="nil"/>
            </w:tcBorders>
            <w:vAlign w:val="center"/>
          </w:tcPr>
          <w:p w14:paraId="0415CF58" w14:textId="092E3349" w:rsidR="009566A4" w:rsidRPr="000F1953" w:rsidRDefault="009566A4" w:rsidP="00C2358C">
            <w:pPr>
              <w:pStyle w:val="Caption"/>
              <w:keepNext/>
              <w:spacing w:after="0"/>
              <w:ind w:left="75" w:right="-30"/>
              <w:jc w:val="both"/>
              <w:rPr>
                <w:rFonts w:asciiTheme="majorBidi" w:hAnsiTheme="majorBidi" w:cstheme="majorBidi"/>
                <w:i w:val="0"/>
                <w:iCs w:val="0"/>
                <w:sz w:val="22"/>
                <w:szCs w:val="22"/>
              </w:rPr>
            </w:pPr>
            <w:bookmarkStart w:id="1" w:name="_Hlk198665599"/>
            <w:r w:rsidRPr="000F1953">
              <w:rPr>
                <w:rFonts w:asciiTheme="majorBidi" w:hAnsiTheme="majorBidi" w:cstheme="majorBidi"/>
                <w:i w:val="0"/>
                <w:iCs w:val="0"/>
                <w:color w:val="000000" w:themeColor="text1"/>
                <w:sz w:val="20"/>
                <w:szCs w:val="20"/>
              </w:rPr>
              <w:t>Table3. Frequency of α-Globin Gene Mutations Among Patients with Hb H Disease, Categorized by Transfusion Dependency</w:t>
            </w:r>
          </w:p>
        </w:tc>
      </w:tr>
      <w:tr w:rsidR="009566A4" w:rsidRPr="000F1953" w14:paraId="414B627A" w14:textId="77777777" w:rsidTr="009566A4">
        <w:trPr>
          <w:trHeight w:val="506"/>
        </w:trPr>
        <w:tc>
          <w:tcPr>
            <w:tcW w:w="2605" w:type="dxa"/>
            <w:vAlign w:val="center"/>
          </w:tcPr>
          <w:p w14:paraId="26D19F36" w14:textId="5D23A4C2" w:rsidR="009566A4" w:rsidRPr="000F1953" w:rsidRDefault="009566A4" w:rsidP="00C2358C">
            <w:pPr>
              <w:jc w:val="both"/>
              <w:rPr>
                <w:rFonts w:asciiTheme="majorBidi" w:hAnsiTheme="majorBidi" w:cstheme="majorBidi"/>
                <w:sz w:val="20"/>
                <w:szCs w:val="20"/>
              </w:rPr>
            </w:pPr>
            <w:r w:rsidRPr="000F1953">
              <w:rPr>
                <w:rFonts w:asciiTheme="majorBidi" w:hAnsiTheme="majorBidi" w:cstheme="majorBidi"/>
                <w:sz w:val="20"/>
                <w:szCs w:val="20"/>
              </w:rPr>
              <w:t>Types of mutation</w:t>
            </w:r>
          </w:p>
        </w:tc>
        <w:tc>
          <w:tcPr>
            <w:tcW w:w="1445" w:type="dxa"/>
            <w:vAlign w:val="center"/>
          </w:tcPr>
          <w:p w14:paraId="3B749C57"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Total</w:t>
            </w:r>
          </w:p>
          <w:p w14:paraId="52D59848" w14:textId="039E84BC"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(n=152)</w:t>
            </w:r>
          </w:p>
        </w:tc>
        <w:tc>
          <w:tcPr>
            <w:tcW w:w="1253" w:type="dxa"/>
            <w:vAlign w:val="center"/>
          </w:tcPr>
          <w:p w14:paraId="7356CC94"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TD</w:t>
            </w:r>
          </w:p>
          <w:p w14:paraId="673FEECD" w14:textId="63F33104"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(n=40)</w:t>
            </w:r>
          </w:p>
        </w:tc>
        <w:tc>
          <w:tcPr>
            <w:tcW w:w="1262" w:type="dxa"/>
            <w:vAlign w:val="center"/>
          </w:tcPr>
          <w:p w14:paraId="03AC4BFC"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OTD</w:t>
            </w:r>
          </w:p>
          <w:p w14:paraId="1AB916DA" w14:textId="03EBBABF"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(n=28)</w:t>
            </w:r>
          </w:p>
        </w:tc>
        <w:tc>
          <w:tcPr>
            <w:tcW w:w="1350" w:type="dxa"/>
            <w:vAlign w:val="center"/>
          </w:tcPr>
          <w:p w14:paraId="0567EDB5"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NTD</w:t>
            </w:r>
          </w:p>
          <w:p w14:paraId="49AE5DA5" w14:textId="7F16F4B1"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(n=84)</w:t>
            </w:r>
          </w:p>
        </w:tc>
      </w:tr>
      <w:tr w:rsidR="005715B0" w:rsidRPr="000F1953" w14:paraId="4A138661" w14:textId="77777777" w:rsidTr="009566A4">
        <w:trPr>
          <w:trHeight w:val="252"/>
        </w:trPr>
        <w:tc>
          <w:tcPr>
            <w:tcW w:w="2605" w:type="dxa"/>
            <w:shd w:val="clear" w:color="auto" w:fill="E7E6E6" w:themeFill="background2"/>
          </w:tcPr>
          <w:p w14:paraId="09C854FF" w14:textId="77777777" w:rsidR="005715B0" w:rsidRPr="000F1953" w:rsidRDefault="005715B0" w:rsidP="00C2358C">
            <w:pPr>
              <w:jc w:val="both"/>
              <w:rPr>
                <w:rFonts w:asciiTheme="majorBidi" w:hAnsiTheme="majorBidi" w:cstheme="majorBidi"/>
                <w:sz w:val="20"/>
                <w:szCs w:val="20"/>
              </w:rPr>
            </w:pPr>
            <w:r w:rsidRPr="000F1953">
              <w:rPr>
                <w:rFonts w:asciiTheme="majorBidi" w:hAnsiTheme="majorBidi" w:cstheme="majorBidi"/>
                <w:sz w:val="20"/>
                <w:szCs w:val="20"/>
              </w:rPr>
              <w:t>ND/ND</w:t>
            </w:r>
          </w:p>
        </w:tc>
        <w:tc>
          <w:tcPr>
            <w:tcW w:w="1445" w:type="dxa"/>
            <w:shd w:val="clear" w:color="auto" w:fill="E7E6E6" w:themeFill="background2"/>
            <w:vAlign w:val="center"/>
          </w:tcPr>
          <w:p w14:paraId="657175D4" w14:textId="77777777" w:rsidR="005715B0" w:rsidRPr="000F1953" w:rsidRDefault="005715B0" w:rsidP="00C2358C">
            <w:pPr>
              <w:jc w:val="center"/>
              <w:rPr>
                <w:rFonts w:asciiTheme="majorBidi" w:hAnsiTheme="majorBidi" w:cstheme="majorBidi"/>
                <w:sz w:val="20"/>
                <w:szCs w:val="20"/>
              </w:rPr>
            </w:pPr>
          </w:p>
        </w:tc>
        <w:tc>
          <w:tcPr>
            <w:tcW w:w="1253" w:type="dxa"/>
            <w:shd w:val="clear" w:color="auto" w:fill="E7E6E6" w:themeFill="background2"/>
            <w:vAlign w:val="center"/>
          </w:tcPr>
          <w:p w14:paraId="4CC232E3" w14:textId="77777777" w:rsidR="005715B0" w:rsidRPr="000F1953" w:rsidRDefault="005715B0" w:rsidP="00C2358C">
            <w:pPr>
              <w:jc w:val="center"/>
              <w:rPr>
                <w:rFonts w:asciiTheme="majorBidi" w:hAnsiTheme="majorBidi" w:cstheme="majorBidi"/>
                <w:sz w:val="20"/>
                <w:szCs w:val="20"/>
              </w:rPr>
            </w:pPr>
          </w:p>
        </w:tc>
        <w:tc>
          <w:tcPr>
            <w:tcW w:w="1262" w:type="dxa"/>
            <w:shd w:val="clear" w:color="auto" w:fill="E7E6E6" w:themeFill="background2"/>
            <w:vAlign w:val="center"/>
          </w:tcPr>
          <w:p w14:paraId="51270562" w14:textId="77777777" w:rsidR="005715B0" w:rsidRPr="000F1953" w:rsidRDefault="005715B0" w:rsidP="00C2358C">
            <w:pPr>
              <w:jc w:val="center"/>
              <w:rPr>
                <w:rFonts w:asciiTheme="majorBidi" w:hAnsiTheme="majorBidi" w:cstheme="majorBidi"/>
                <w:sz w:val="20"/>
                <w:szCs w:val="20"/>
              </w:rPr>
            </w:pPr>
          </w:p>
        </w:tc>
        <w:tc>
          <w:tcPr>
            <w:tcW w:w="1350" w:type="dxa"/>
            <w:shd w:val="clear" w:color="auto" w:fill="E7E6E6" w:themeFill="background2"/>
            <w:vAlign w:val="center"/>
          </w:tcPr>
          <w:p w14:paraId="61064F0D" w14:textId="77777777" w:rsidR="005715B0" w:rsidRPr="000F1953" w:rsidRDefault="005715B0" w:rsidP="00C2358C">
            <w:pPr>
              <w:jc w:val="center"/>
              <w:rPr>
                <w:rFonts w:asciiTheme="majorBidi" w:hAnsiTheme="majorBidi" w:cstheme="majorBidi"/>
                <w:sz w:val="20"/>
                <w:szCs w:val="20"/>
              </w:rPr>
            </w:pPr>
          </w:p>
        </w:tc>
      </w:tr>
      <w:tr w:rsidR="005715B0" w:rsidRPr="000F1953" w14:paraId="058FCB5E" w14:textId="77777777" w:rsidTr="009566A4">
        <w:trPr>
          <w:trHeight w:val="252"/>
        </w:trPr>
        <w:tc>
          <w:tcPr>
            <w:tcW w:w="2605" w:type="dxa"/>
            <w:shd w:val="clear" w:color="auto" w:fill="FFFFFF" w:themeFill="background1"/>
          </w:tcPr>
          <w:p w14:paraId="6A171D37"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codon19</w:t>
            </w:r>
            <w:r w:rsidRPr="000F1953">
              <w:rPr>
                <w:rFonts w:asciiTheme="majorBidi" w:hAnsiTheme="majorBidi" w:cstheme="majorBidi"/>
                <w:sz w:val="20"/>
                <w:szCs w:val="20"/>
              </w:rPr>
              <w:t>α / α</w:t>
            </w:r>
            <w:r w:rsidRPr="000F1953">
              <w:rPr>
                <w:rFonts w:asciiTheme="majorBidi" w:hAnsiTheme="majorBidi" w:cstheme="majorBidi"/>
                <w:sz w:val="20"/>
                <w:szCs w:val="20"/>
                <w:vertAlign w:val="superscript"/>
              </w:rPr>
              <w:t>codon19</w:t>
            </w:r>
            <w:r w:rsidRPr="000F1953">
              <w:rPr>
                <w:rFonts w:asciiTheme="majorBidi" w:hAnsiTheme="majorBidi" w:cstheme="majorBidi"/>
                <w:sz w:val="20"/>
                <w:szCs w:val="20"/>
              </w:rPr>
              <w:t>α</w:t>
            </w:r>
          </w:p>
        </w:tc>
        <w:tc>
          <w:tcPr>
            <w:tcW w:w="1445" w:type="dxa"/>
            <w:shd w:val="clear" w:color="auto" w:fill="FFFFFF" w:themeFill="background1"/>
            <w:vAlign w:val="center"/>
          </w:tcPr>
          <w:p w14:paraId="13C8A8FD" w14:textId="656FF698"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(2.6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1407BBDE"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07BEF1D8" w14:textId="600F42C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(4.8</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435095CE"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3CBA1D0B" w14:textId="77777777" w:rsidTr="009566A4">
        <w:trPr>
          <w:trHeight w:val="252"/>
        </w:trPr>
        <w:tc>
          <w:tcPr>
            <w:tcW w:w="2605" w:type="dxa"/>
            <w:shd w:val="clear" w:color="auto" w:fill="FFFFFF" w:themeFill="background1"/>
          </w:tcPr>
          <w:p w14:paraId="78798C38"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codon90</w:t>
            </w:r>
            <w:r w:rsidRPr="000F1953">
              <w:rPr>
                <w:rFonts w:asciiTheme="majorBidi" w:hAnsiTheme="majorBidi" w:cstheme="majorBidi"/>
                <w:sz w:val="20"/>
                <w:szCs w:val="20"/>
              </w:rPr>
              <w:t>α / α</w:t>
            </w:r>
            <w:r w:rsidRPr="000F1953">
              <w:rPr>
                <w:rFonts w:asciiTheme="majorBidi" w:hAnsiTheme="majorBidi" w:cstheme="majorBidi"/>
                <w:sz w:val="20"/>
                <w:szCs w:val="20"/>
                <w:vertAlign w:val="superscript"/>
              </w:rPr>
              <w:t>codon19</w:t>
            </w:r>
            <w:r w:rsidRPr="000F1953">
              <w:rPr>
                <w:rFonts w:asciiTheme="majorBidi" w:hAnsiTheme="majorBidi" w:cstheme="majorBidi"/>
                <w:sz w:val="20"/>
                <w:szCs w:val="20"/>
              </w:rPr>
              <w:t>α</w:t>
            </w:r>
          </w:p>
        </w:tc>
        <w:tc>
          <w:tcPr>
            <w:tcW w:w="1445" w:type="dxa"/>
            <w:shd w:val="clear" w:color="auto" w:fill="FFFFFF" w:themeFill="background1"/>
            <w:vAlign w:val="center"/>
          </w:tcPr>
          <w:p w14:paraId="6A052D96" w14:textId="16E12DB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63B2CD66"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5D7EB033"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603A6ED0" w14:textId="51B0CF1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46284ABB" w14:textId="77777777" w:rsidTr="009566A4">
        <w:trPr>
          <w:trHeight w:val="252"/>
        </w:trPr>
        <w:tc>
          <w:tcPr>
            <w:tcW w:w="2605" w:type="dxa"/>
            <w:shd w:val="clear" w:color="auto" w:fill="FFFFFF" w:themeFill="background1"/>
          </w:tcPr>
          <w:p w14:paraId="4AF91606"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codon59</w:t>
            </w:r>
            <w:r w:rsidRPr="000F1953">
              <w:rPr>
                <w:rFonts w:asciiTheme="majorBidi" w:hAnsiTheme="majorBidi" w:cstheme="majorBidi"/>
                <w:sz w:val="20"/>
                <w:szCs w:val="20"/>
              </w:rPr>
              <w:t>α / α</w:t>
            </w:r>
            <w:r w:rsidRPr="000F1953">
              <w:rPr>
                <w:rFonts w:asciiTheme="majorBidi" w:hAnsiTheme="majorBidi" w:cstheme="majorBidi"/>
                <w:sz w:val="20"/>
                <w:szCs w:val="20"/>
                <w:vertAlign w:val="superscript"/>
              </w:rPr>
              <w:t>codon59</w:t>
            </w:r>
            <w:r w:rsidRPr="000F1953">
              <w:rPr>
                <w:rFonts w:asciiTheme="majorBidi" w:hAnsiTheme="majorBidi" w:cstheme="majorBidi"/>
                <w:sz w:val="20"/>
                <w:szCs w:val="20"/>
              </w:rPr>
              <w:t>α</w:t>
            </w:r>
          </w:p>
        </w:tc>
        <w:tc>
          <w:tcPr>
            <w:tcW w:w="1445" w:type="dxa"/>
            <w:shd w:val="clear" w:color="auto" w:fill="FFFFFF" w:themeFill="background1"/>
            <w:vAlign w:val="center"/>
          </w:tcPr>
          <w:p w14:paraId="50CEB4A7" w14:textId="716479F6"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(1.3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24F547A8" w14:textId="00B3619A"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70CABB77"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2C86B05A" w14:textId="3DADA18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7CCB2437" w14:textId="77777777" w:rsidTr="009566A4">
        <w:trPr>
          <w:trHeight w:val="252"/>
        </w:trPr>
        <w:tc>
          <w:tcPr>
            <w:tcW w:w="2605" w:type="dxa"/>
            <w:shd w:val="clear" w:color="auto" w:fill="FFFFFF" w:themeFill="background1"/>
          </w:tcPr>
          <w:p w14:paraId="12C7C034"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codon59</w:t>
            </w:r>
            <w:r w:rsidRPr="000F1953">
              <w:rPr>
                <w:rFonts w:asciiTheme="majorBidi" w:hAnsiTheme="majorBidi" w:cstheme="majorBidi"/>
                <w:sz w:val="20"/>
                <w:szCs w:val="20"/>
              </w:rPr>
              <w:t>α / 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w:t>
            </w:r>
          </w:p>
        </w:tc>
        <w:tc>
          <w:tcPr>
            <w:tcW w:w="1445" w:type="dxa"/>
            <w:shd w:val="clear" w:color="auto" w:fill="FFFFFF" w:themeFill="background1"/>
            <w:vAlign w:val="center"/>
          </w:tcPr>
          <w:p w14:paraId="14253D52" w14:textId="6291711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73AE2FA1" w14:textId="070B73E3"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7C662035"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74EE80AB"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00D69672" w14:textId="77777777" w:rsidTr="009566A4">
        <w:trPr>
          <w:trHeight w:val="252"/>
        </w:trPr>
        <w:tc>
          <w:tcPr>
            <w:tcW w:w="2605" w:type="dxa"/>
            <w:shd w:val="clear" w:color="auto" w:fill="FFFFFF" w:themeFill="background1"/>
          </w:tcPr>
          <w:p w14:paraId="18395B2D" w14:textId="77777777" w:rsidR="005715B0" w:rsidRPr="000F1953" w:rsidRDefault="005715B0" w:rsidP="00C2358C">
            <w:pPr>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CS</w:t>
            </w:r>
            <w:r w:rsidRPr="000F1953">
              <w:rPr>
                <w:rFonts w:asciiTheme="majorBidi" w:hAnsiTheme="majorBidi" w:cstheme="majorBidi"/>
                <w:sz w:val="20"/>
                <w:szCs w:val="20"/>
              </w:rPr>
              <w:t xml:space="preserve"> α/ α</w:t>
            </w:r>
            <w:r w:rsidRPr="000F1953">
              <w:rPr>
                <w:rFonts w:asciiTheme="majorBidi" w:hAnsiTheme="majorBidi" w:cstheme="majorBidi"/>
                <w:sz w:val="20"/>
                <w:szCs w:val="20"/>
                <w:vertAlign w:val="superscript"/>
              </w:rPr>
              <w:t>CS</w:t>
            </w:r>
            <w:r w:rsidRPr="000F1953">
              <w:rPr>
                <w:rFonts w:asciiTheme="majorBidi" w:hAnsiTheme="majorBidi" w:cstheme="majorBidi"/>
                <w:sz w:val="20"/>
                <w:szCs w:val="20"/>
              </w:rPr>
              <w:t xml:space="preserve"> α</w:t>
            </w:r>
          </w:p>
        </w:tc>
        <w:tc>
          <w:tcPr>
            <w:tcW w:w="1445" w:type="dxa"/>
            <w:shd w:val="clear" w:color="auto" w:fill="FFFFFF" w:themeFill="background1"/>
            <w:vAlign w:val="center"/>
          </w:tcPr>
          <w:p w14:paraId="6B6B974D" w14:textId="082A752C"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8 (5.3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19984987" w14:textId="16FF145C"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024990E5" w14:textId="519EBC5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(7.1</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5B48544B" w14:textId="1DF8A1DA"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(4.8</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356FAF1F" w14:textId="77777777" w:rsidTr="009566A4">
        <w:trPr>
          <w:trHeight w:val="252"/>
        </w:trPr>
        <w:tc>
          <w:tcPr>
            <w:tcW w:w="2605" w:type="dxa"/>
            <w:shd w:val="clear" w:color="auto" w:fill="FFFFFF" w:themeFill="background1"/>
          </w:tcPr>
          <w:p w14:paraId="43564BAF"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CS</w:t>
            </w:r>
            <w:r w:rsidRPr="000F1953">
              <w:rPr>
                <w:rFonts w:asciiTheme="majorBidi" w:hAnsiTheme="majorBidi" w:cstheme="majorBidi"/>
                <w:sz w:val="20"/>
                <w:szCs w:val="20"/>
              </w:rPr>
              <w:t xml:space="preserve"> α/ 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w:t>
            </w:r>
          </w:p>
        </w:tc>
        <w:tc>
          <w:tcPr>
            <w:tcW w:w="1445" w:type="dxa"/>
            <w:shd w:val="clear" w:color="auto" w:fill="FFFFFF" w:themeFill="background1"/>
            <w:vAlign w:val="center"/>
          </w:tcPr>
          <w:p w14:paraId="60A26239" w14:textId="121368DB"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509F0E5B"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00F6973F" w14:textId="42114256"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0F150BBB"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6DCB35F2" w14:textId="77777777" w:rsidTr="009566A4">
        <w:trPr>
          <w:trHeight w:val="252"/>
        </w:trPr>
        <w:tc>
          <w:tcPr>
            <w:tcW w:w="2605" w:type="dxa"/>
            <w:shd w:val="clear" w:color="auto" w:fill="FFFFFF" w:themeFill="background1"/>
          </w:tcPr>
          <w:p w14:paraId="189E015B"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Hb Dartmouth/Hb Dartmouth</w:t>
            </w:r>
          </w:p>
        </w:tc>
        <w:tc>
          <w:tcPr>
            <w:tcW w:w="1445" w:type="dxa"/>
            <w:shd w:val="clear" w:color="auto" w:fill="FFFFFF" w:themeFill="background1"/>
            <w:vAlign w:val="center"/>
          </w:tcPr>
          <w:p w14:paraId="00A6CDFD" w14:textId="21E44E9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1A3912CB"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1A92ABD9" w14:textId="0351099D"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07D7685C"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3F6B26F2" w14:textId="77777777" w:rsidTr="009566A4">
        <w:trPr>
          <w:trHeight w:val="252"/>
        </w:trPr>
        <w:tc>
          <w:tcPr>
            <w:tcW w:w="2605" w:type="dxa"/>
            <w:shd w:val="clear" w:color="auto" w:fill="FFFFFF" w:themeFill="background1"/>
          </w:tcPr>
          <w:p w14:paraId="27E18707" w14:textId="77777777" w:rsidR="005715B0" w:rsidRPr="000F1953" w:rsidRDefault="005715B0" w:rsidP="00C2358C">
            <w:pPr>
              <w:jc w:val="both"/>
              <w:rPr>
                <w:rFonts w:asciiTheme="majorBidi" w:hAnsiTheme="majorBidi" w:cstheme="majorBidi"/>
                <w:sz w:val="20"/>
                <w:szCs w:val="20"/>
              </w:rPr>
            </w:pPr>
            <w:r w:rsidRPr="000F1953">
              <w:rPr>
                <w:rFonts w:asciiTheme="majorBidi" w:hAnsiTheme="majorBidi" w:cstheme="majorBidi"/>
                <w:sz w:val="20"/>
                <w:szCs w:val="20"/>
              </w:rPr>
              <w:t>Hb Setif/ Hb Setif</w:t>
            </w:r>
          </w:p>
        </w:tc>
        <w:tc>
          <w:tcPr>
            <w:tcW w:w="1445" w:type="dxa"/>
            <w:shd w:val="clear" w:color="auto" w:fill="FFFFFF" w:themeFill="background1"/>
            <w:vAlign w:val="center"/>
          </w:tcPr>
          <w:p w14:paraId="1205EE63" w14:textId="05F6300C"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08971373"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26D1E132"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5CB8FA67" w14:textId="34C96240"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55D69CA" w14:textId="77777777" w:rsidTr="009566A4">
        <w:trPr>
          <w:trHeight w:val="252"/>
        </w:trPr>
        <w:tc>
          <w:tcPr>
            <w:tcW w:w="2605" w:type="dxa"/>
            <w:shd w:val="clear" w:color="auto" w:fill="FFFFFF" w:themeFill="background1"/>
          </w:tcPr>
          <w:p w14:paraId="0CC1F07A"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 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w:t>
            </w:r>
          </w:p>
        </w:tc>
        <w:tc>
          <w:tcPr>
            <w:tcW w:w="1445" w:type="dxa"/>
            <w:shd w:val="clear" w:color="auto" w:fill="FFFFFF" w:themeFill="background1"/>
            <w:vAlign w:val="center"/>
          </w:tcPr>
          <w:p w14:paraId="073334A4" w14:textId="0405A68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15 (9.9</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52773385" w14:textId="616CA398"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(10</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42005B25" w14:textId="6F0745D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3 (10.7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22B56E83" w14:textId="62EE201B"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8 (9.5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68AC004" w14:textId="77777777" w:rsidTr="009566A4">
        <w:trPr>
          <w:trHeight w:val="252"/>
        </w:trPr>
        <w:tc>
          <w:tcPr>
            <w:tcW w:w="2605" w:type="dxa"/>
            <w:shd w:val="clear" w:color="auto" w:fill="FFFFFF" w:themeFill="background1"/>
          </w:tcPr>
          <w:p w14:paraId="0BB027D4"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PolyA2</w:t>
            </w:r>
            <w:r w:rsidRPr="000F1953">
              <w:rPr>
                <w:rFonts w:asciiTheme="majorBidi" w:hAnsiTheme="majorBidi" w:cstheme="majorBidi"/>
                <w:sz w:val="20"/>
                <w:szCs w:val="20"/>
              </w:rPr>
              <w:t>α / α</w:t>
            </w:r>
            <w:r w:rsidRPr="000F1953">
              <w:rPr>
                <w:rFonts w:asciiTheme="majorBidi" w:hAnsiTheme="majorBidi" w:cstheme="majorBidi"/>
                <w:sz w:val="20"/>
                <w:szCs w:val="20"/>
                <w:vertAlign w:val="superscript"/>
              </w:rPr>
              <w:t>PolyA2</w:t>
            </w:r>
            <w:r w:rsidRPr="000F1953">
              <w:rPr>
                <w:rFonts w:asciiTheme="majorBidi" w:hAnsiTheme="majorBidi" w:cstheme="majorBidi"/>
                <w:sz w:val="20"/>
                <w:szCs w:val="20"/>
              </w:rPr>
              <w:t>α</w:t>
            </w:r>
          </w:p>
        </w:tc>
        <w:tc>
          <w:tcPr>
            <w:tcW w:w="1445" w:type="dxa"/>
            <w:shd w:val="clear" w:color="auto" w:fill="FFFFFF" w:themeFill="background1"/>
            <w:vAlign w:val="center"/>
          </w:tcPr>
          <w:p w14:paraId="7FF4A164" w14:textId="570E2D83"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(2.6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66E06E10"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4AEB5C04"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4235D720" w14:textId="23ACA7CB"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(4.8</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1B1702F1" w14:textId="77777777" w:rsidTr="009566A4">
        <w:trPr>
          <w:trHeight w:val="252"/>
        </w:trPr>
        <w:tc>
          <w:tcPr>
            <w:tcW w:w="2605" w:type="dxa"/>
            <w:shd w:val="clear" w:color="auto" w:fill="E7E6E6" w:themeFill="background2"/>
          </w:tcPr>
          <w:p w14:paraId="33F527AE" w14:textId="77777777" w:rsidR="005715B0" w:rsidRPr="000F1953" w:rsidRDefault="005715B0" w:rsidP="00C2358C">
            <w:pPr>
              <w:jc w:val="both"/>
              <w:rPr>
                <w:rFonts w:asciiTheme="majorBidi" w:hAnsiTheme="majorBidi" w:cstheme="majorBidi"/>
                <w:sz w:val="20"/>
                <w:szCs w:val="20"/>
              </w:rPr>
            </w:pPr>
            <w:r w:rsidRPr="000F1953">
              <w:rPr>
                <w:rFonts w:asciiTheme="majorBidi" w:hAnsiTheme="majorBidi" w:cstheme="majorBidi"/>
                <w:sz w:val="20"/>
                <w:szCs w:val="20"/>
              </w:rPr>
              <w:t>ND/D</w:t>
            </w:r>
          </w:p>
        </w:tc>
        <w:tc>
          <w:tcPr>
            <w:tcW w:w="1445" w:type="dxa"/>
            <w:shd w:val="clear" w:color="auto" w:fill="E7E6E6" w:themeFill="background2"/>
            <w:vAlign w:val="center"/>
          </w:tcPr>
          <w:p w14:paraId="5F0009F6" w14:textId="77777777" w:rsidR="005715B0" w:rsidRPr="000F1953" w:rsidRDefault="005715B0" w:rsidP="00C2358C">
            <w:pPr>
              <w:jc w:val="center"/>
              <w:rPr>
                <w:rFonts w:asciiTheme="majorBidi" w:hAnsiTheme="majorBidi" w:cstheme="majorBidi"/>
                <w:sz w:val="20"/>
                <w:szCs w:val="20"/>
              </w:rPr>
            </w:pPr>
          </w:p>
        </w:tc>
        <w:tc>
          <w:tcPr>
            <w:tcW w:w="1253" w:type="dxa"/>
            <w:shd w:val="clear" w:color="auto" w:fill="E7E6E6" w:themeFill="background2"/>
            <w:vAlign w:val="center"/>
          </w:tcPr>
          <w:p w14:paraId="1F8B14B6" w14:textId="77777777" w:rsidR="005715B0" w:rsidRPr="000F1953" w:rsidRDefault="005715B0" w:rsidP="00C2358C">
            <w:pPr>
              <w:jc w:val="center"/>
              <w:rPr>
                <w:rFonts w:asciiTheme="majorBidi" w:hAnsiTheme="majorBidi" w:cstheme="majorBidi"/>
                <w:sz w:val="20"/>
                <w:szCs w:val="20"/>
              </w:rPr>
            </w:pPr>
          </w:p>
        </w:tc>
        <w:tc>
          <w:tcPr>
            <w:tcW w:w="1262" w:type="dxa"/>
            <w:shd w:val="clear" w:color="auto" w:fill="E7E6E6" w:themeFill="background2"/>
            <w:vAlign w:val="center"/>
          </w:tcPr>
          <w:p w14:paraId="35A644A3" w14:textId="77777777" w:rsidR="005715B0" w:rsidRPr="000F1953" w:rsidRDefault="005715B0" w:rsidP="00C2358C">
            <w:pPr>
              <w:jc w:val="center"/>
              <w:rPr>
                <w:rFonts w:asciiTheme="majorBidi" w:hAnsiTheme="majorBidi" w:cstheme="majorBidi"/>
                <w:sz w:val="20"/>
                <w:szCs w:val="20"/>
              </w:rPr>
            </w:pPr>
          </w:p>
        </w:tc>
        <w:tc>
          <w:tcPr>
            <w:tcW w:w="1350" w:type="dxa"/>
            <w:shd w:val="clear" w:color="auto" w:fill="E7E6E6" w:themeFill="background2"/>
            <w:vAlign w:val="center"/>
          </w:tcPr>
          <w:p w14:paraId="46A3F5BC" w14:textId="77777777" w:rsidR="005715B0" w:rsidRPr="000F1953" w:rsidRDefault="005715B0" w:rsidP="00C2358C">
            <w:pPr>
              <w:jc w:val="center"/>
              <w:rPr>
                <w:rFonts w:asciiTheme="majorBidi" w:hAnsiTheme="majorBidi" w:cstheme="majorBidi"/>
                <w:sz w:val="20"/>
                <w:szCs w:val="20"/>
              </w:rPr>
            </w:pPr>
          </w:p>
        </w:tc>
      </w:tr>
      <w:tr w:rsidR="005715B0" w:rsidRPr="000F1953" w14:paraId="33842204" w14:textId="77777777" w:rsidTr="009566A4">
        <w:trPr>
          <w:trHeight w:val="252"/>
        </w:trPr>
        <w:tc>
          <w:tcPr>
            <w:tcW w:w="2605" w:type="dxa"/>
            <w:shd w:val="clear" w:color="auto" w:fill="FFFFFF" w:themeFill="background1"/>
          </w:tcPr>
          <w:p w14:paraId="5CD8A2A1"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20.5</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-5nt</w:t>
            </w:r>
            <w:r w:rsidRPr="000F1953">
              <w:rPr>
                <w:rFonts w:asciiTheme="majorBidi" w:hAnsiTheme="majorBidi" w:cstheme="majorBidi"/>
                <w:sz w:val="20"/>
                <w:szCs w:val="20"/>
              </w:rPr>
              <w:t>α</w:t>
            </w:r>
          </w:p>
        </w:tc>
        <w:tc>
          <w:tcPr>
            <w:tcW w:w="1445" w:type="dxa"/>
            <w:shd w:val="clear" w:color="auto" w:fill="FFFFFF" w:themeFill="background1"/>
            <w:vAlign w:val="center"/>
          </w:tcPr>
          <w:p w14:paraId="7DE3D479" w14:textId="352AFEC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11 (7.2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285B2BEE" w14:textId="68289C6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5 (12.5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4CB11A9C"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4156A1A6" w14:textId="2D6EC4D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6 (7.1</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31341F82" w14:textId="77777777" w:rsidTr="009566A4">
        <w:trPr>
          <w:trHeight w:val="252"/>
        </w:trPr>
        <w:tc>
          <w:tcPr>
            <w:tcW w:w="2605" w:type="dxa"/>
            <w:shd w:val="clear" w:color="auto" w:fill="FFFFFF" w:themeFill="background1"/>
          </w:tcPr>
          <w:p w14:paraId="6F19BC95"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20.5</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PolyA2</w:t>
            </w:r>
            <w:r w:rsidRPr="000F1953">
              <w:rPr>
                <w:rFonts w:asciiTheme="majorBidi" w:hAnsiTheme="majorBidi" w:cstheme="majorBidi"/>
                <w:sz w:val="20"/>
                <w:szCs w:val="20"/>
              </w:rPr>
              <w:t>α</w:t>
            </w:r>
          </w:p>
        </w:tc>
        <w:tc>
          <w:tcPr>
            <w:tcW w:w="1445" w:type="dxa"/>
            <w:shd w:val="clear" w:color="auto" w:fill="FFFFFF" w:themeFill="background1"/>
            <w:vAlign w:val="center"/>
          </w:tcPr>
          <w:p w14:paraId="496484C2" w14:textId="096DD7B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(2.6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3045DE38" w14:textId="418BDF8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036AD8B9" w14:textId="0F7F4460"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3508E489" w14:textId="25B0087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8E400CF" w14:textId="77777777" w:rsidTr="009566A4">
        <w:trPr>
          <w:trHeight w:val="252"/>
        </w:trPr>
        <w:tc>
          <w:tcPr>
            <w:tcW w:w="2605" w:type="dxa"/>
            <w:shd w:val="clear" w:color="auto" w:fill="FFFFFF" w:themeFill="background1"/>
          </w:tcPr>
          <w:p w14:paraId="37A9797F"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20.5</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w:t>
            </w:r>
          </w:p>
        </w:tc>
        <w:tc>
          <w:tcPr>
            <w:tcW w:w="1445" w:type="dxa"/>
            <w:shd w:val="clear" w:color="auto" w:fill="FFFFFF" w:themeFill="background1"/>
            <w:vAlign w:val="center"/>
          </w:tcPr>
          <w:p w14:paraId="7BA6CA9C" w14:textId="2F88A30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(1.3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48B7BBD5"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4BADA947" w14:textId="496B0DE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6043ECE5" w14:textId="0C572BB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0D54D2A" w14:textId="77777777" w:rsidTr="009566A4">
        <w:trPr>
          <w:trHeight w:val="252"/>
        </w:trPr>
        <w:tc>
          <w:tcPr>
            <w:tcW w:w="2605" w:type="dxa"/>
            <w:shd w:val="clear" w:color="auto" w:fill="FFFFFF" w:themeFill="background1"/>
          </w:tcPr>
          <w:p w14:paraId="4DFFC317"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3.7</w:t>
            </w:r>
            <w:r w:rsidRPr="000F1953">
              <w:rPr>
                <w:rFonts w:asciiTheme="majorBidi" w:hAnsiTheme="majorBidi" w:cstheme="majorBidi"/>
                <w:sz w:val="20"/>
                <w:szCs w:val="20"/>
              </w:rPr>
              <w:t xml:space="preserve">/ </w:t>
            </w:r>
            <w:bookmarkStart w:id="2" w:name="_Hlk196648937"/>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-5nt</w:t>
            </w:r>
            <w:bookmarkEnd w:id="2"/>
            <w:r w:rsidRPr="000F1953">
              <w:rPr>
                <w:rFonts w:asciiTheme="majorBidi" w:hAnsiTheme="majorBidi" w:cstheme="majorBidi"/>
                <w:sz w:val="20"/>
                <w:szCs w:val="20"/>
              </w:rPr>
              <w:t xml:space="preserve"> α</w:t>
            </w:r>
          </w:p>
        </w:tc>
        <w:tc>
          <w:tcPr>
            <w:tcW w:w="1445" w:type="dxa"/>
            <w:shd w:val="clear" w:color="auto" w:fill="FFFFFF" w:themeFill="background1"/>
            <w:vAlign w:val="center"/>
          </w:tcPr>
          <w:p w14:paraId="67EC248B" w14:textId="16401B49"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(1.3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6942C481" w14:textId="380774B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41798B2A"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6EDC9F39" w14:textId="0E5BEAAC"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3DDF1F41" w14:textId="77777777" w:rsidTr="009566A4">
        <w:trPr>
          <w:trHeight w:val="252"/>
        </w:trPr>
        <w:tc>
          <w:tcPr>
            <w:tcW w:w="2605" w:type="dxa"/>
            <w:shd w:val="clear" w:color="auto" w:fill="FFFFFF" w:themeFill="background1"/>
          </w:tcPr>
          <w:p w14:paraId="31FDF6B0"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3.7</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w:t>
            </w:r>
          </w:p>
        </w:tc>
        <w:tc>
          <w:tcPr>
            <w:tcW w:w="1445" w:type="dxa"/>
            <w:shd w:val="clear" w:color="auto" w:fill="FFFFFF" w:themeFill="background1"/>
            <w:vAlign w:val="center"/>
          </w:tcPr>
          <w:p w14:paraId="76ED7AC7" w14:textId="3A824D73"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0F8C1104"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0B758F83" w14:textId="49BF337A"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380F4BE3"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6010A8BF" w14:textId="77777777" w:rsidTr="009566A4">
        <w:trPr>
          <w:trHeight w:val="252"/>
        </w:trPr>
        <w:tc>
          <w:tcPr>
            <w:tcW w:w="2605" w:type="dxa"/>
            <w:shd w:val="clear" w:color="auto" w:fill="FFFFFF" w:themeFill="background1"/>
          </w:tcPr>
          <w:p w14:paraId="33BEC7A5"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3.7</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polyA1</w:t>
            </w:r>
            <w:r w:rsidRPr="000F1953">
              <w:rPr>
                <w:rFonts w:asciiTheme="majorBidi" w:hAnsiTheme="majorBidi" w:cstheme="majorBidi"/>
                <w:sz w:val="20"/>
                <w:szCs w:val="20"/>
              </w:rPr>
              <w:t>α</w:t>
            </w:r>
          </w:p>
        </w:tc>
        <w:tc>
          <w:tcPr>
            <w:tcW w:w="1445" w:type="dxa"/>
            <w:shd w:val="clear" w:color="auto" w:fill="FFFFFF" w:themeFill="background1"/>
            <w:vAlign w:val="center"/>
          </w:tcPr>
          <w:p w14:paraId="38FDE646" w14:textId="4DFB835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7F77E364"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355B7CF9"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11D629DC" w14:textId="3720690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17B294E3" w14:textId="77777777" w:rsidTr="009566A4">
        <w:trPr>
          <w:trHeight w:val="252"/>
        </w:trPr>
        <w:tc>
          <w:tcPr>
            <w:tcW w:w="2605" w:type="dxa"/>
            <w:shd w:val="clear" w:color="auto" w:fill="FFFFFF" w:themeFill="background1"/>
          </w:tcPr>
          <w:p w14:paraId="7A26A0B1"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20.5</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CS</w:t>
            </w:r>
            <w:r w:rsidRPr="000F1953">
              <w:rPr>
                <w:rFonts w:asciiTheme="majorBidi" w:hAnsiTheme="majorBidi" w:cstheme="majorBidi"/>
                <w:sz w:val="20"/>
                <w:szCs w:val="20"/>
              </w:rPr>
              <w:t xml:space="preserve"> α</w:t>
            </w:r>
          </w:p>
        </w:tc>
        <w:tc>
          <w:tcPr>
            <w:tcW w:w="1445" w:type="dxa"/>
            <w:shd w:val="clear" w:color="auto" w:fill="FFFFFF" w:themeFill="background1"/>
            <w:vAlign w:val="center"/>
          </w:tcPr>
          <w:p w14:paraId="36EFA96D" w14:textId="46F98D1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5 (3.3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23438FA5" w14:textId="32D490A8"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71EA66A2" w14:textId="1AD5B1A0"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(7.1</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48704FCF" w14:textId="41F1EC7D"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F31F118" w14:textId="77777777" w:rsidTr="009566A4">
        <w:trPr>
          <w:trHeight w:val="252"/>
        </w:trPr>
        <w:tc>
          <w:tcPr>
            <w:tcW w:w="2605" w:type="dxa"/>
            <w:shd w:val="clear" w:color="auto" w:fill="FFFFFF" w:themeFill="background1"/>
          </w:tcPr>
          <w:p w14:paraId="39069664"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65 bp indel</w:t>
            </w:r>
            <w:r w:rsidRPr="000F1953">
              <w:rPr>
                <w:rFonts w:asciiTheme="majorBidi" w:hAnsiTheme="majorBidi" w:cstheme="majorBidi"/>
                <w:sz w:val="20"/>
                <w:szCs w:val="20"/>
              </w:rPr>
              <w:t>α, -α</w:t>
            </w:r>
            <w:r w:rsidRPr="000F1953">
              <w:rPr>
                <w:rFonts w:asciiTheme="majorBidi" w:hAnsiTheme="majorBidi" w:cstheme="majorBidi"/>
                <w:sz w:val="20"/>
                <w:szCs w:val="20"/>
                <w:vertAlign w:val="superscript"/>
              </w:rPr>
              <w:t>3.7</w:t>
            </w: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3.7</w:t>
            </w:r>
          </w:p>
        </w:tc>
        <w:tc>
          <w:tcPr>
            <w:tcW w:w="1445" w:type="dxa"/>
            <w:shd w:val="clear" w:color="auto" w:fill="FFFFFF" w:themeFill="background1"/>
            <w:vAlign w:val="center"/>
          </w:tcPr>
          <w:p w14:paraId="4CC45092" w14:textId="5FDEE45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2253CD81"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03FF86E3"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7CE66EB4" w14:textId="651247DE"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5A5C3415" w14:textId="77777777" w:rsidTr="009566A4">
        <w:trPr>
          <w:trHeight w:val="252"/>
        </w:trPr>
        <w:tc>
          <w:tcPr>
            <w:tcW w:w="2605" w:type="dxa"/>
            <w:shd w:val="clear" w:color="auto" w:fill="FFFFFF" w:themeFill="background1"/>
          </w:tcPr>
          <w:p w14:paraId="29FAE961"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α</w:t>
            </w:r>
            <w:r w:rsidRPr="000F1953">
              <w:rPr>
                <w:rFonts w:asciiTheme="majorBidi" w:hAnsiTheme="majorBidi" w:cstheme="majorBidi"/>
                <w:sz w:val="20"/>
                <w:szCs w:val="20"/>
                <w:vertAlign w:val="superscript"/>
              </w:rPr>
              <w:t>-5nt</w:t>
            </w:r>
            <w:r w:rsidRPr="000F1953">
              <w:rPr>
                <w:rFonts w:asciiTheme="majorBidi" w:hAnsiTheme="majorBidi" w:cstheme="majorBidi"/>
                <w:sz w:val="20"/>
                <w:szCs w:val="20"/>
              </w:rPr>
              <w:t>α</w:t>
            </w:r>
          </w:p>
        </w:tc>
        <w:tc>
          <w:tcPr>
            <w:tcW w:w="1445" w:type="dxa"/>
            <w:shd w:val="clear" w:color="auto" w:fill="FFFFFF" w:themeFill="background1"/>
            <w:vAlign w:val="center"/>
          </w:tcPr>
          <w:p w14:paraId="19D808E7" w14:textId="1B712F0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(1.3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0FDA5785"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465C3560" w14:textId="0BBDE27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5A787638" w14:textId="78A2C0AA"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4CFE6A1B" w14:textId="77777777" w:rsidTr="009566A4">
        <w:trPr>
          <w:trHeight w:val="252"/>
        </w:trPr>
        <w:tc>
          <w:tcPr>
            <w:tcW w:w="2605" w:type="dxa"/>
            <w:shd w:val="clear" w:color="auto" w:fill="FFFFFF" w:themeFill="background1"/>
          </w:tcPr>
          <w:p w14:paraId="1E46FF7E"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/α</w:t>
            </w:r>
            <w:r w:rsidRPr="000F1953">
              <w:rPr>
                <w:rFonts w:asciiTheme="majorBidi" w:hAnsiTheme="majorBidi" w:cstheme="majorBidi"/>
                <w:sz w:val="20"/>
                <w:szCs w:val="20"/>
                <w:vertAlign w:val="superscript"/>
              </w:rPr>
              <w:t>codon 19</w:t>
            </w:r>
            <w:r w:rsidRPr="000F1953">
              <w:rPr>
                <w:rFonts w:asciiTheme="majorBidi" w:hAnsiTheme="majorBidi" w:cstheme="majorBidi"/>
                <w:sz w:val="20"/>
                <w:szCs w:val="20"/>
              </w:rPr>
              <w:t>α</w:t>
            </w:r>
          </w:p>
        </w:tc>
        <w:tc>
          <w:tcPr>
            <w:tcW w:w="1445" w:type="dxa"/>
            <w:shd w:val="clear" w:color="auto" w:fill="FFFFFF" w:themeFill="background1"/>
            <w:vAlign w:val="center"/>
          </w:tcPr>
          <w:p w14:paraId="24C453E6" w14:textId="15E6A14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(2.6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1AD37134" w14:textId="7A907C90"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3CAA98C7"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77B3EFAB" w14:textId="2F5DE509"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(2.4</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5986685A" w14:textId="77777777" w:rsidTr="009566A4">
        <w:trPr>
          <w:trHeight w:val="252"/>
        </w:trPr>
        <w:tc>
          <w:tcPr>
            <w:tcW w:w="2605" w:type="dxa"/>
            <w:shd w:val="clear" w:color="auto" w:fill="FFFFFF" w:themeFill="background1"/>
          </w:tcPr>
          <w:p w14:paraId="573978BB"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 α</w:t>
            </w:r>
            <w:r w:rsidRPr="000F1953">
              <w:rPr>
                <w:rFonts w:asciiTheme="majorBidi" w:hAnsiTheme="majorBidi" w:cstheme="majorBidi"/>
                <w:sz w:val="20"/>
                <w:szCs w:val="20"/>
                <w:vertAlign w:val="superscript"/>
              </w:rPr>
              <w:t>codon 90</w:t>
            </w:r>
            <w:r w:rsidRPr="000F1953">
              <w:rPr>
                <w:rFonts w:asciiTheme="majorBidi" w:hAnsiTheme="majorBidi" w:cstheme="majorBidi"/>
                <w:sz w:val="20"/>
                <w:szCs w:val="20"/>
              </w:rPr>
              <w:t>α</w:t>
            </w:r>
          </w:p>
        </w:tc>
        <w:tc>
          <w:tcPr>
            <w:tcW w:w="1445" w:type="dxa"/>
            <w:shd w:val="clear" w:color="auto" w:fill="FFFFFF" w:themeFill="background1"/>
            <w:vAlign w:val="center"/>
          </w:tcPr>
          <w:p w14:paraId="52D97F7D" w14:textId="6398422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(1.3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7CFCCB47" w14:textId="2762898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090F6014" w14:textId="2546839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2DE5875B"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200596B9" w14:textId="77777777" w:rsidTr="009566A4">
        <w:trPr>
          <w:trHeight w:val="252"/>
        </w:trPr>
        <w:tc>
          <w:tcPr>
            <w:tcW w:w="2605" w:type="dxa"/>
            <w:shd w:val="clear" w:color="auto" w:fill="FFFFFF" w:themeFill="background1"/>
          </w:tcPr>
          <w:p w14:paraId="145E2AAD"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 α</w:t>
            </w:r>
            <w:r w:rsidRPr="000F1953">
              <w:rPr>
                <w:rFonts w:asciiTheme="majorBidi" w:hAnsiTheme="majorBidi" w:cstheme="majorBidi"/>
                <w:sz w:val="20"/>
                <w:szCs w:val="20"/>
                <w:vertAlign w:val="superscript"/>
              </w:rPr>
              <w:t>codon108</w:t>
            </w:r>
            <w:r w:rsidRPr="000F1953">
              <w:rPr>
                <w:rFonts w:asciiTheme="majorBidi" w:hAnsiTheme="majorBidi" w:cstheme="majorBidi"/>
                <w:sz w:val="20"/>
                <w:szCs w:val="20"/>
              </w:rPr>
              <w:t>α</w:t>
            </w:r>
          </w:p>
        </w:tc>
        <w:tc>
          <w:tcPr>
            <w:tcW w:w="1445" w:type="dxa"/>
            <w:shd w:val="clear" w:color="auto" w:fill="FFFFFF" w:themeFill="background1"/>
            <w:vAlign w:val="center"/>
          </w:tcPr>
          <w:p w14:paraId="7B97EA7D" w14:textId="4D1CE2F3"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0E0BADBB"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71149D32"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3EDF8532" w14:textId="0DDF706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F6F33CF" w14:textId="77777777" w:rsidTr="009566A4">
        <w:trPr>
          <w:trHeight w:val="252"/>
        </w:trPr>
        <w:tc>
          <w:tcPr>
            <w:tcW w:w="2605" w:type="dxa"/>
            <w:shd w:val="clear" w:color="auto" w:fill="FFFFFF" w:themeFill="background1"/>
          </w:tcPr>
          <w:p w14:paraId="1173FC98"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 α</w:t>
            </w:r>
            <w:r w:rsidRPr="000F1953">
              <w:rPr>
                <w:rFonts w:asciiTheme="majorBidi" w:hAnsiTheme="majorBidi" w:cstheme="majorBidi"/>
                <w:sz w:val="20"/>
                <w:szCs w:val="20"/>
                <w:vertAlign w:val="superscript"/>
              </w:rPr>
              <w:t>CS</w:t>
            </w:r>
            <w:r w:rsidRPr="000F1953">
              <w:rPr>
                <w:rFonts w:asciiTheme="majorBidi" w:hAnsiTheme="majorBidi" w:cstheme="majorBidi"/>
                <w:sz w:val="20"/>
                <w:szCs w:val="20"/>
              </w:rPr>
              <w:t xml:space="preserve"> α</w:t>
            </w:r>
          </w:p>
        </w:tc>
        <w:tc>
          <w:tcPr>
            <w:tcW w:w="1445" w:type="dxa"/>
            <w:shd w:val="clear" w:color="auto" w:fill="FFFFFF" w:themeFill="background1"/>
            <w:vAlign w:val="center"/>
          </w:tcPr>
          <w:p w14:paraId="29AE0E57" w14:textId="13F523B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6 (3.9</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1568DF26" w14:textId="1257959C"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 (10</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7345697A"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48EC61C2" w14:textId="39BA059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(2.4</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71ADF6C7" w14:textId="77777777" w:rsidTr="009566A4">
        <w:trPr>
          <w:trHeight w:val="252"/>
        </w:trPr>
        <w:tc>
          <w:tcPr>
            <w:tcW w:w="2605" w:type="dxa"/>
            <w:shd w:val="clear" w:color="auto" w:fill="FFFFFF" w:themeFill="background1"/>
          </w:tcPr>
          <w:p w14:paraId="582347FE"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 α</w:t>
            </w:r>
            <w:r w:rsidRPr="000F1953">
              <w:rPr>
                <w:rFonts w:asciiTheme="majorBidi" w:hAnsiTheme="majorBidi" w:cstheme="majorBidi"/>
                <w:sz w:val="20"/>
                <w:szCs w:val="20"/>
                <w:vertAlign w:val="superscript"/>
              </w:rPr>
              <w:t>PolyA2</w:t>
            </w:r>
            <w:r w:rsidRPr="000F1953">
              <w:rPr>
                <w:rFonts w:asciiTheme="majorBidi" w:hAnsiTheme="majorBidi" w:cstheme="majorBidi"/>
                <w:sz w:val="20"/>
                <w:szCs w:val="20"/>
              </w:rPr>
              <w:t>α</w:t>
            </w:r>
          </w:p>
        </w:tc>
        <w:tc>
          <w:tcPr>
            <w:tcW w:w="1445" w:type="dxa"/>
            <w:shd w:val="clear" w:color="auto" w:fill="FFFFFF" w:themeFill="background1"/>
            <w:vAlign w:val="center"/>
          </w:tcPr>
          <w:p w14:paraId="5C8DB32A" w14:textId="59254BB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11 (7.2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431F2E92" w14:textId="0056EA9E"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1E4A687D" w14:textId="6FD6C936"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3 (10.7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279747E5" w14:textId="443263D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6 (7.1</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1EAE1093" w14:textId="77777777" w:rsidTr="009566A4">
        <w:trPr>
          <w:trHeight w:val="252"/>
        </w:trPr>
        <w:tc>
          <w:tcPr>
            <w:tcW w:w="2605" w:type="dxa"/>
            <w:shd w:val="clear" w:color="auto" w:fill="E7E6E6" w:themeFill="background2"/>
          </w:tcPr>
          <w:p w14:paraId="39E12149" w14:textId="77777777" w:rsidR="005715B0" w:rsidRPr="000F1953" w:rsidRDefault="005715B0" w:rsidP="00C2358C">
            <w:pPr>
              <w:jc w:val="both"/>
              <w:rPr>
                <w:rFonts w:asciiTheme="majorBidi" w:hAnsiTheme="majorBidi" w:cstheme="majorBidi"/>
                <w:sz w:val="20"/>
                <w:szCs w:val="20"/>
              </w:rPr>
            </w:pPr>
            <w:r w:rsidRPr="000F1953">
              <w:rPr>
                <w:rFonts w:asciiTheme="majorBidi" w:hAnsiTheme="majorBidi" w:cstheme="majorBidi"/>
                <w:sz w:val="20"/>
                <w:szCs w:val="20"/>
              </w:rPr>
              <w:t>D/D</w:t>
            </w:r>
          </w:p>
        </w:tc>
        <w:tc>
          <w:tcPr>
            <w:tcW w:w="1445" w:type="dxa"/>
            <w:shd w:val="clear" w:color="auto" w:fill="E7E6E6" w:themeFill="background2"/>
            <w:vAlign w:val="center"/>
          </w:tcPr>
          <w:p w14:paraId="0CC6C411" w14:textId="77777777" w:rsidR="005715B0" w:rsidRPr="000F1953" w:rsidRDefault="005715B0" w:rsidP="00C2358C">
            <w:pPr>
              <w:jc w:val="center"/>
              <w:rPr>
                <w:rFonts w:asciiTheme="majorBidi" w:hAnsiTheme="majorBidi" w:cstheme="majorBidi"/>
                <w:sz w:val="20"/>
                <w:szCs w:val="20"/>
              </w:rPr>
            </w:pPr>
          </w:p>
        </w:tc>
        <w:tc>
          <w:tcPr>
            <w:tcW w:w="1253" w:type="dxa"/>
            <w:shd w:val="clear" w:color="auto" w:fill="E7E6E6" w:themeFill="background2"/>
            <w:vAlign w:val="center"/>
          </w:tcPr>
          <w:p w14:paraId="405C6BC9" w14:textId="77777777" w:rsidR="005715B0" w:rsidRPr="000F1953" w:rsidRDefault="005715B0" w:rsidP="00C2358C">
            <w:pPr>
              <w:jc w:val="center"/>
              <w:rPr>
                <w:rFonts w:asciiTheme="majorBidi" w:hAnsiTheme="majorBidi" w:cstheme="majorBidi"/>
                <w:sz w:val="20"/>
                <w:szCs w:val="20"/>
              </w:rPr>
            </w:pPr>
          </w:p>
        </w:tc>
        <w:tc>
          <w:tcPr>
            <w:tcW w:w="1262" w:type="dxa"/>
            <w:shd w:val="clear" w:color="auto" w:fill="E7E6E6" w:themeFill="background2"/>
            <w:vAlign w:val="center"/>
          </w:tcPr>
          <w:p w14:paraId="349FCCEC" w14:textId="77777777" w:rsidR="005715B0" w:rsidRPr="000F1953" w:rsidRDefault="005715B0" w:rsidP="00C2358C">
            <w:pPr>
              <w:jc w:val="center"/>
              <w:rPr>
                <w:rFonts w:asciiTheme="majorBidi" w:hAnsiTheme="majorBidi" w:cstheme="majorBidi"/>
                <w:sz w:val="20"/>
                <w:szCs w:val="20"/>
              </w:rPr>
            </w:pPr>
          </w:p>
        </w:tc>
        <w:tc>
          <w:tcPr>
            <w:tcW w:w="1350" w:type="dxa"/>
            <w:shd w:val="clear" w:color="auto" w:fill="E7E6E6" w:themeFill="background2"/>
            <w:vAlign w:val="center"/>
          </w:tcPr>
          <w:p w14:paraId="71853779" w14:textId="77777777" w:rsidR="005715B0" w:rsidRPr="000F1953" w:rsidRDefault="005715B0" w:rsidP="00C2358C">
            <w:pPr>
              <w:jc w:val="center"/>
              <w:rPr>
                <w:rFonts w:asciiTheme="majorBidi" w:hAnsiTheme="majorBidi" w:cstheme="majorBidi"/>
                <w:sz w:val="20"/>
                <w:szCs w:val="20"/>
              </w:rPr>
            </w:pPr>
          </w:p>
        </w:tc>
      </w:tr>
      <w:tr w:rsidR="005715B0" w:rsidRPr="000F1953" w14:paraId="779A5A47" w14:textId="77777777" w:rsidTr="009566A4">
        <w:trPr>
          <w:trHeight w:val="252"/>
        </w:trPr>
        <w:tc>
          <w:tcPr>
            <w:tcW w:w="2605" w:type="dxa"/>
            <w:shd w:val="clear" w:color="auto" w:fill="FFFFFF" w:themeFill="background1"/>
          </w:tcPr>
          <w:p w14:paraId="16BE955F"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20.5</w:t>
            </w: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3.7</w:t>
            </w:r>
          </w:p>
        </w:tc>
        <w:tc>
          <w:tcPr>
            <w:tcW w:w="1445" w:type="dxa"/>
            <w:shd w:val="clear" w:color="auto" w:fill="FFFFFF" w:themeFill="background1"/>
            <w:vAlign w:val="center"/>
          </w:tcPr>
          <w:p w14:paraId="2875194E" w14:textId="3AD241ED"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11 (7.2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2F589D3A" w14:textId="09B5FF63"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75949661" w14:textId="394123D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3 (10.7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6059FF0C" w14:textId="69D5D60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6 (7.1</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7E2C2A45" w14:textId="77777777" w:rsidTr="009566A4">
        <w:trPr>
          <w:trHeight w:val="252"/>
        </w:trPr>
        <w:tc>
          <w:tcPr>
            <w:tcW w:w="2605" w:type="dxa"/>
            <w:shd w:val="clear" w:color="auto" w:fill="FFFFFF" w:themeFill="background1"/>
          </w:tcPr>
          <w:p w14:paraId="77865DB6"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4.2</w:t>
            </w: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20.5</w:t>
            </w:r>
          </w:p>
        </w:tc>
        <w:tc>
          <w:tcPr>
            <w:tcW w:w="1445" w:type="dxa"/>
            <w:shd w:val="clear" w:color="auto" w:fill="FFFFFF" w:themeFill="background1"/>
            <w:vAlign w:val="center"/>
          </w:tcPr>
          <w:p w14:paraId="78C5FC22" w14:textId="042C08C4"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5E66AFA4" w14:textId="570E4F51"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246D1A32"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0892AE0F"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178CD444" w14:textId="77777777" w:rsidTr="009566A4">
        <w:trPr>
          <w:trHeight w:val="252"/>
        </w:trPr>
        <w:tc>
          <w:tcPr>
            <w:tcW w:w="2605" w:type="dxa"/>
            <w:shd w:val="clear" w:color="auto" w:fill="FFFFFF" w:themeFill="background1"/>
          </w:tcPr>
          <w:p w14:paraId="7F5E9B70"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3.7</w:t>
            </w: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unknown deletion</w:t>
            </w:r>
          </w:p>
        </w:tc>
        <w:tc>
          <w:tcPr>
            <w:tcW w:w="1445" w:type="dxa"/>
            <w:shd w:val="clear" w:color="auto" w:fill="FFFFFF" w:themeFill="background1"/>
            <w:vAlign w:val="center"/>
          </w:tcPr>
          <w:p w14:paraId="6B7E19FC" w14:textId="79E26C0A"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5FB7D3F4"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2A4B17C6"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1DDBE27F" w14:textId="561D74B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31CBC594" w14:textId="77777777" w:rsidTr="009566A4">
        <w:trPr>
          <w:trHeight w:val="252"/>
        </w:trPr>
        <w:tc>
          <w:tcPr>
            <w:tcW w:w="2605" w:type="dxa"/>
            <w:shd w:val="clear" w:color="auto" w:fill="FFFFFF" w:themeFill="background1"/>
          </w:tcPr>
          <w:p w14:paraId="10B7FC0A"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/-α</w:t>
            </w:r>
            <w:r w:rsidRPr="000F1953">
              <w:rPr>
                <w:rFonts w:asciiTheme="majorBidi" w:hAnsiTheme="majorBidi" w:cstheme="majorBidi"/>
                <w:sz w:val="20"/>
                <w:szCs w:val="20"/>
                <w:vertAlign w:val="superscript"/>
              </w:rPr>
              <w:t>3.7</w:t>
            </w:r>
          </w:p>
        </w:tc>
        <w:tc>
          <w:tcPr>
            <w:tcW w:w="1445" w:type="dxa"/>
            <w:shd w:val="clear" w:color="auto" w:fill="FFFFFF" w:themeFill="background1"/>
            <w:vAlign w:val="center"/>
          </w:tcPr>
          <w:p w14:paraId="7D4CBC1C" w14:textId="7411753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41 (27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03D96C05" w14:textId="37A31662"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7 (17.5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4711BA62" w14:textId="5C2E149B"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7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0E280EC8" w14:textId="1B44721E"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27 (32.1</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B2574F3" w14:textId="77777777" w:rsidTr="009566A4">
        <w:trPr>
          <w:trHeight w:val="252"/>
        </w:trPr>
        <w:tc>
          <w:tcPr>
            <w:tcW w:w="2605" w:type="dxa"/>
            <w:shd w:val="clear" w:color="auto" w:fill="FFFFFF" w:themeFill="background1"/>
          </w:tcPr>
          <w:p w14:paraId="71679E12"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/α</w:t>
            </w:r>
            <w:r w:rsidRPr="000F1953">
              <w:rPr>
                <w:rFonts w:asciiTheme="majorBidi" w:hAnsiTheme="majorBidi" w:cstheme="majorBidi"/>
                <w:sz w:val="20"/>
                <w:szCs w:val="20"/>
                <w:vertAlign w:val="superscript"/>
              </w:rPr>
              <w:t>21 bp dup</w:t>
            </w:r>
            <w:r w:rsidRPr="000F1953">
              <w:rPr>
                <w:rFonts w:asciiTheme="majorBidi" w:hAnsiTheme="majorBidi" w:cstheme="majorBidi"/>
                <w:sz w:val="20"/>
                <w:szCs w:val="20"/>
              </w:rPr>
              <w:t>α</w:t>
            </w:r>
          </w:p>
        </w:tc>
        <w:tc>
          <w:tcPr>
            <w:tcW w:w="1445" w:type="dxa"/>
            <w:shd w:val="clear" w:color="auto" w:fill="FFFFFF" w:themeFill="background1"/>
            <w:vAlign w:val="center"/>
          </w:tcPr>
          <w:p w14:paraId="2F281A8A" w14:textId="3619DF96"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308EFFAB" w14:textId="676EE00D"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(2.5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78F30D4C"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1F521612"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r>
      <w:tr w:rsidR="005715B0" w:rsidRPr="000F1953" w14:paraId="12258F6B" w14:textId="77777777" w:rsidTr="009566A4">
        <w:trPr>
          <w:trHeight w:val="252"/>
        </w:trPr>
        <w:tc>
          <w:tcPr>
            <w:tcW w:w="2605" w:type="dxa"/>
            <w:shd w:val="clear" w:color="auto" w:fill="FFFFFF" w:themeFill="background1"/>
          </w:tcPr>
          <w:p w14:paraId="570461E5"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Med</w:t>
            </w:r>
            <w:r w:rsidRPr="000F1953">
              <w:rPr>
                <w:rFonts w:asciiTheme="majorBidi" w:hAnsiTheme="majorBidi" w:cstheme="majorBidi"/>
                <w:sz w:val="20"/>
                <w:szCs w:val="20"/>
              </w:rPr>
              <w:t xml:space="preserve"> /-α</w:t>
            </w:r>
            <w:r w:rsidRPr="000F1953">
              <w:rPr>
                <w:rFonts w:asciiTheme="majorBidi" w:hAnsiTheme="majorBidi" w:cstheme="majorBidi"/>
                <w:sz w:val="20"/>
                <w:szCs w:val="20"/>
                <w:vertAlign w:val="superscript"/>
              </w:rPr>
              <w:t>4.2</w:t>
            </w:r>
          </w:p>
        </w:tc>
        <w:tc>
          <w:tcPr>
            <w:tcW w:w="1445" w:type="dxa"/>
            <w:shd w:val="clear" w:color="auto" w:fill="FFFFFF" w:themeFill="background1"/>
            <w:vAlign w:val="center"/>
          </w:tcPr>
          <w:p w14:paraId="5E2C834E" w14:textId="45705848"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5 (3.3</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6CB61D80" w14:textId="61CE860D"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(5</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2196B35C" w14:textId="2C5D4DB0"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(3.6</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2D6B8DA4" w14:textId="47443E60"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 (2.4</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286BC947" w14:textId="77777777" w:rsidTr="009566A4">
        <w:trPr>
          <w:trHeight w:val="252"/>
        </w:trPr>
        <w:tc>
          <w:tcPr>
            <w:tcW w:w="2605" w:type="dxa"/>
            <w:shd w:val="clear" w:color="auto" w:fill="FFFFFF" w:themeFill="background1"/>
          </w:tcPr>
          <w:p w14:paraId="45FBB03F" w14:textId="77777777" w:rsidR="005715B0" w:rsidRPr="000F1953" w:rsidRDefault="005715B0" w:rsidP="00C2358C">
            <w:pPr>
              <w:ind w:left="158"/>
              <w:jc w:val="both"/>
              <w:rPr>
                <w:rFonts w:asciiTheme="majorBidi" w:hAnsiTheme="majorBidi" w:cstheme="majorBidi"/>
                <w:sz w:val="20"/>
                <w:szCs w:val="20"/>
              </w:rPr>
            </w:pPr>
            <w:r w:rsidRPr="000F1953">
              <w:rPr>
                <w:rFonts w:asciiTheme="majorBidi" w:hAnsiTheme="majorBidi" w:cstheme="majorBidi"/>
                <w:sz w:val="20"/>
                <w:szCs w:val="20"/>
              </w:rPr>
              <w:t>--</w:t>
            </w:r>
            <w:r w:rsidRPr="000F1953">
              <w:rPr>
                <w:rFonts w:asciiTheme="majorBidi" w:hAnsiTheme="majorBidi" w:cstheme="majorBidi"/>
                <w:sz w:val="20"/>
                <w:szCs w:val="20"/>
                <w:vertAlign w:val="superscript"/>
              </w:rPr>
              <w:t>SEA</w:t>
            </w:r>
            <w:r w:rsidRPr="000F1953">
              <w:rPr>
                <w:rFonts w:asciiTheme="majorBidi" w:hAnsiTheme="majorBidi" w:cstheme="majorBidi"/>
                <w:sz w:val="20"/>
                <w:szCs w:val="20"/>
              </w:rPr>
              <w:t xml:space="preserve"> /-α</w:t>
            </w:r>
            <w:r w:rsidRPr="000F1953">
              <w:rPr>
                <w:rFonts w:asciiTheme="majorBidi" w:hAnsiTheme="majorBidi" w:cstheme="majorBidi"/>
                <w:sz w:val="20"/>
                <w:szCs w:val="20"/>
                <w:vertAlign w:val="superscript"/>
              </w:rPr>
              <w:t>3.7</w:t>
            </w:r>
          </w:p>
        </w:tc>
        <w:tc>
          <w:tcPr>
            <w:tcW w:w="1445" w:type="dxa"/>
            <w:shd w:val="clear" w:color="auto" w:fill="FFFFFF" w:themeFill="background1"/>
            <w:vAlign w:val="center"/>
          </w:tcPr>
          <w:p w14:paraId="63A53973" w14:textId="06DE6939"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(0.7</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53" w:type="dxa"/>
            <w:shd w:val="clear" w:color="auto" w:fill="FFFFFF" w:themeFill="background1"/>
            <w:vAlign w:val="center"/>
          </w:tcPr>
          <w:p w14:paraId="5499E571"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262" w:type="dxa"/>
            <w:shd w:val="clear" w:color="auto" w:fill="FFFFFF" w:themeFill="background1"/>
            <w:vAlign w:val="center"/>
          </w:tcPr>
          <w:p w14:paraId="2F03F2C6"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0</w:t>
            </w:r>
          </w:p>
        </w:tc>
        <w:tc>
          <w:tcPr>
            <w:tcW w:w="1350" w:type="dxa"/>
            <w:shd w:val="clear" w:color="auto" w:fill="FFFFFF" w:themeFill="background1"/>
            <w:vAlign w:val="center"/>
          </w:tcPr>
          <w:p w14:paraId="45855DC9" w14:textId="34B6ACD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 (1.2</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tr w:rsidR="005715B0" w:rsidRPr="000F1953" w14:paraId="4C2E0605" w14:textId="77777777" w:rsidTr="009566A4">
        <w:trPr>
          <w:trHeight w:val="252"/>
        </w:trPr>
        <w:tc>
          <w:tcPr>
            <w:tcW w:w="2605" w:type="dxa"/>
            <w:shd w:val="clear" w:color="auto" w:fill="FFFFFF" w:themeFill="background1"/>
          </w:tcPr>
          <w:p w14:paraId="4A1579CA" w14:textId="77777777" w:rsidR="005715B0" w:rsidRPr="000F1953" w:rsidRDefault="005715B0" w:rsidP="00C2358C">
            <w:pPr>
              <w:jc w:val="both"/>
              <w:rPr>
                <w:rFonts w:asciiTheme="majorBidi" w:hAnsiTheme="majorBidi" w:cstheme="majorBidi"/>
                <w:sz w:val="20"/>
                <w:szCs w:val="20"/>
              </w:rPr>
            </w:pPr>
            <w:r w:rsidRPr="000F1953">
              <w:rPr>
                <w:rFonts w:asciiTheme="majorBidi" w:hAnsiTheme="majorBidi" w:cstheme="majorBidi"/>
                <w:sz w:val="20"/>
                <w:szCs w:val="20"/>
              </w:rPr>
              <w:t>TOTAL</w:t>
            </w:r>
          </w:p>
        </w:tc>
        <w:tc>
          <w:tcPr>
            <w:tcW w:w="1445" w:type="dxa"/>
            <w:shd w:val="clear" w:color="auto" w:fill="FFFFFF" w:themeFill="background1"/>
            <w:vAlign w:val="center"/>
          </w:tcPr>
          <w:p w14:paraId="34EE21C9" w14:textId="77777777"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152 (100%)</w:t>
            </w:r>
          </w:p>
        </w:tc>
        <w:tc>
          <w:tcPr>
            <w:tcW w:w="1253" w:type="dxa"/>
            <w:shd w:val="clear" w:color="auto" w:fill="FFFFFF" w:themeFill="background1"/>
            <w:vAlign w:val="center"/>
          </w:tcPr>
          <w:p w14:paraId="2E92E8F9" w14:textId="13ADA968"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4</w:t>
            </w:r>
            <w:r w:rsidR="00D01786" w:rsidRPr="000F1953">
              <w:rPr>
                <w:rFonts w:asciiTheme="majorBidi" w:hAnsiTheme="majorBidi" w:cstheme="majorBidi"/>
                <w:sz w:val="20"/>
                <w:szCs w:val="20"/>
              </w:rPr>
              <w:t>0</w:t>
            </w:r>
            <w:r w:rsidRPr="000F1953">
              <w:rPr>
                <w:rFonts w:asciiTheme="majorBidi" w:hAnsiTheme="majorBidi" w:cstheme="majorBidi"/>
                <w:sz w:val="20"/>
                <w:szCs w:val="20"/>
              </w:rPr>
              <w:t xml:space="preserve"> (100</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262" w:type="dxa"/>
            <w:shd w:val="clear" w:color="auto" w:fill="FFFFFF" w:themeFill="background1"/>
            <w:vAlign w:val="center"/>
          </w:tcPr>
          <w:p w14:paraId="550060D6" w14:textId="4FAC0275"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28 (100</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c>
          <w:tcPr>
            <w:tcW w:w="1350" w:type="dxa"/>
            <w:shd w:val="clear" w:color="auto" w:fill="FFFFFF" w:themeFill="background1"/>
            <w:vAlign w:val="center"/>
          </w:tcPr>
          <w:p w14:paraId="0A8FDD6B" w14:textId="6F589D1F" w:rsidR="005715B0" w:rsidRPr="000F1953" w:rsidRDefault="005715B0" w:rsidP="00C2358C">
            <w:pPr>
              <w:jc w:val="center"/>
              <w:rPr>
                <w:rFonts w:asciiTheme="majorBidi" w:hAnsiTheme="majorBidi" w:cstheme="majorBidi"/>
                <w:sz w:val="20"/>
                <w:szCs w:val="20"/>
              </w:rPr>
            </w:pPr>
            <w:r w:rsidRPr="000F1953">
              <w:rPr>
                <w:rFonts w:asciiTheme="majorBidi" w:hAnsiTheme="majorBidi" w:cstheme="majorBidi"/>
                <w:sz w:val="20"/>
                <w:szCs w:val="20"/>
              </w:rPr>
              <w:t>84 (100</w:t>
            </w:r>
            <w:r w:rsidR="00C03A84" w:rsidRPr="000F1953">
              <w:rPr>
                <w:rFonts w:asciiTheme="majorBidi" w:hAnsiTheme="majorBidi" w:cstheme="majorBidi"/>
                <w:sz w:val="20"/>
                <w:szCs w:val="20"/>
              </w:rPr>
              <w:t>%</w:t>
            </w:r>
            <w:r w:rsidRPr="000F1953">
              <w:rPr>
                <w:rFonts w:asciiTheme="majorBidi" w:hAnsiTheme="majorBidi" w:cstheme="majorBidi"/>
                <w:sz w:val="20"/>
                <w:szCs w:val="20"/>
              </w:rPr>
              <w:t>)</w:t>
            </w:r>
          </w:p>
        </w:tc>
      </w:tr>
      <w:bookmarkEnd w:id="1"/>
    </w:tbl>
    <w:p w14:paraId="4B5815E1" w14:textId="0D4C42B1" w:rsidR="005715B0" w:rsidRPr="000F1953" w:rsidRDefault="005715B0" w:rsidP="00C2358C">
      <w:pPr>
        <w:spacing w:line="240" w:lineRule="auto"/>
        <w:jc w:val="both"/>
        <w:rPr>
          <w:rFonts w:asciiTheme="majorBidi" w:hAnsiTheme="majorBidi" w:cstheme="majorBidi"/>
          <w:sz w:val="20"/>
          <w:szCs w:val="20"/>
          <w:lang w:bidi="fa-IR"/>
        </w:rPr>
      </w:pPr>
    </w:p>
    <w:p w14:paraId="41A72DA2" w14:textId="458E7592" w:rsidR="005715B0" w:rsidRPr="000F1953" w:rsidRDefault="005715B0" w:rsidP="00C2358C">
      <w:pPr>
        <w:spacing w:line="240" w:lineRule="auto"/>
        <w:jc w:val="both"/>
        <w:rPr>
          <w:rFonts w:asciiTheme="majorBidi" w:hAnsiTheme="majorBidi" w:cstheme="majorBidi"/>
          <w:sz w:val="20"/>
          <w:szCs w:val="20"/>
          <w:lang w:bidi="fa-IR"/>
        </w:rPr>
      </w:pPr>
    </w:p>
    <w:p w14:paraId="05413417" w14:textId="317805DC" w:rsidR="005715B0" w:rsidRPr="000F1953" w:rsidRDefault="005715B0" w:rsidP="00C2358C">
      <w:pPr>
        <w:spacing w:line="240" w:lineRule="auto"/>
        <w:jc w:val="both"/>
        <w:rPr>
          <w:rFonts w:asciiTheme="majorBidi" w:hAnsiTheme="majorBidi" w:cstheme="majorBidi"/>
          <w:sz w:val="20"/>
          <w:szCs w:val="20"/>
          <w:lang w:bidi="fa-IR"/>
        </w:rPr>
      </w:pPr>
    </w:p>
    <w:p w14:paraId="6485A8E7" w14:textId="76AD99E7" w:rsidR="005715B0" w:rsidRPr="000F1953" w:rsidRDefault="005715B0" w:rsidP="00C2358C">
      <w:pPr>
        <w:spacing w:line="240" w:lineRule="auto"/>
        <w:jc w:val="both"/>
        <w:rPr>
          <w:rFonts w:asciiTheme="majorBidi" w:hAnsiTheme="majorBidi" w:cstheme="majorBidi"/>
          <w:sz w:val="20"/>
          <w:szCs w:val="20"/>
          <w:lang w:bidi="fa-IR"/>
        </w:rPr>
      </w:pPr>
    </w:p>
    <w:p w14:paraId="7CF63A03" w14:textId="0D1C721D" w:rsidR="005715B0" w:rsidRPr="000F1953" w:rsidRDefault="005715B0" w:rsidP="00C2358C">
      <w:pPr>
        <w:spacing w:line="240" w:lineRule="auto"/>
        <w:jc w:val="both"/>
        <w:rPr>
          <w:rFonts w:asciiTheme="majorBidi" w:hAnsiTheme="majorBidi" w:cstheme="majorBidi"/>
          <w:sz w:val="20"/>
          <w:szCs w:val="20"/>
          <w:lang w:bidi="fa-IR"/>
        </w:rPr>
      </w:pPr>
    </w:p>
    <w:p w14:paraId="1752811A" w14:textId="532F8F9F" w:rsidR="005715B0" w:rsidRPr="000F1953" w:rsidRDefault="005715B0" w:rsidP="00C2358C">
      <w:pPr>
        <w:spacing w:line="240" w:lineRule="auto"/>
        <w:jc w:val="both"/>
        <w:rPr>
          <w:rFonts w:asciiTheme="majorBidi" w:hAnsiTheme="majorBidi" w:cstheme="majorBidi"/>
          <w:sz w:val="20"/>
          <w:szCs w:val="20"/>
          <w:lang w:bidi="fa-IR"/>
        </w:rPr>
      </w:pPr>
    </w:p>
    <w:p w14:paraId="62A5A40C" w14:textId="07933FAC" w:rsidR="005715B0" w:rsidRPr="000F1953" w:rsidRDefault="005715B0" w:rsidP="00C2358C">
      <w:pPr>
        <w:spacing w:line="240" w:lineRule="auto"/>
        <w:jc w:val="both"/>
        <w:rPr>
          <w:rFonts w:asciiTheme="majorBidi" w:hAnsiTheme="majorBidi" w:cstheme="majorBidi"/>
          <w:sz w:val="20"/>
          <w:szCs w:val="20"/>
          <w:lang w:bidi="fa-IR"/>
        </w:rPr>
      </w:pPr>
    </w:p>
    <w:p w14:paraId="36FE5EC2" w14:textId="578617EF" w:rsidR="005715B0" w:rsidRPr="000F1953" w:rsidRDefault="005715B0" w:rsidP="00C2358C">
      <w:pPr>
        <w:spacing w:line="240" w:lineRule="auto"/>
        <w:jc w:val="both"/>
        <w:rPr>
          <w:rFonts w:asciiTheme="majorBidi" w:hAnsiTheme="majorBidi" w:cstheme="majorBidi"/>
          <w:sz w:val="20"/>
          <w:szCs w:val="20"/>
          <w:lang w:bidi="fa-IR"/>
        </w:rPr>
      </w:pPr>
    </w:p>
    <w:p w14:paraId="4E511566" w14:textId="17AEC146" w:rsidR="005715B0" w:rsidRPr="000F1953" w:rsidRDefault="005715B0" w:rsidP="00C2358C">
      <w:pPr>
        <w:spacing w:line="240" w:lineRule="auto"/>
        <w:jc w:val="both"/>
        <w:rPr>
          <w:rFonts w:asciiTheme="majorBidi" w:hAnsiTheme="majorBidi" w:cstheme="majorBidi"/>
          <w:sz w:val="20"/>
          <w:szCs w:val="20"/>
          <w:lang w:bidi="fa-IR"/>
        </w:rPr>
      </w:pPr>
    </w:p>
    <w:p w14:paraId="26395E64" w14:textId="01E6F281" w:rsidR="005715B0" w:rsidRPr="000F1953" w:rsidRDefault="005715B0" w:rsidP="00C2358C">
      <w:pPr>
        <w:spacing w:line="240" w:lineRule="auto"/>
        <w:jc w:val="both"/>
        <w:rPr>
          <w:rFonts w:asciiTheme="majorBidi" w:hAnsiTheme="majorBidi" w:cstheme="majorBidi"/>
          <w:sz w:val="20"/>
          <w:szCs w:val="20"/>
          <w:lang w:bidi="fa-IR"/>
        </w:rPr>
      </w:pPr>
    </w:p>
    <w:p w14:paraId="13F1FFFB" w14:textId="45F5EDBE" w:rsidR="005715B0" w:rsidRPr="000F1953" w:rsidRDefault="005715B0" w:rsidP="00C2358C">
      <w:pPr>
        <w:spacing w:line="240" w:lineRule="auto"/>
        <w:jc w:val="both"/>
        <w:rPr>
          <w:rFonts w:asciiTheme="majorBidi" w:hAnsiTheme="majorBidi" w:cstheme="majorBidi"/>
          <w:sz w:val="20"/>
          <w:szCs w:val="20"/>
          <w:lang w:bidi="fa-IR"/>
        </w:rPr>
      </w:pPr>
    </w:p>
    <w:p w14:paraId="06AE6D4A" w14:textId="6CA36C7F" w:rsidR="005715B0" w:rsidRPr="000F1953" w:rsidRDefault="005715B0" w:rsidP="00C2358C">
      <w:pPr>
        <w:spacing w:line="240" w:lineRule="auto"/>
        <w:jc w:val="both"/>
        <w:rPr>
          <w:rFonts w:asciiTheme="majorBidi" w:hAnsiTheme="majorBidi" w:cstheme="majorBidi"/>
          <w:sz w:val="20"/>
          <w:szCs w:val="20"/>
          <w:lang w:bidi="fa-IR"/>
        </w:rPr>
      </w:pPr>
    </w:p>
    <w:p w14:paraId="54864251" w14:textId="3DAAF2C5" w:rsidR="005715B0" w:rsidRPr="000F1953" w:rsidRDefault="005715B0" w:rsidP="00C2358C">
      <w:pPr>
        <w:spacing w:line="240" w:lineRule="auto"/>
        <w:jc w:val="both"/>
        <w:rPr>
          <w:rFonts w:asciiTheme="majorBidi" w:hAnsiTheme="majorBidi" w:cstheme="majorBidi"/>
          <w:sz w:val="20"/>
          <w:szCs w:val="20"/>
          <w:lang w:bidi="fa-IR"/>
        </w:rPr>
      </w:pPr>
    </w:p>
    <w:p w14:paraId="62304522" w14:textId="70D913D2" w:rsidR="005715B0" w:rsidRPr="000F1953" w:rsidRDefault="005715B0" w:rsidP="00C2358C">
      <w:pPr>
        <w:spacing w:line="240" w:lineRule="auto"/>
        <w:jc w:val="both"/>
        <w:rPr>
          <w:rFonts w:asciiTheme="majorBidi" w:hAnsiTheme="majorBidi" w:cstheme="majorBidi"/>
          <w:sz w:val="20"/>
          <w:szCs w:val="20"/>
          <w:lang w:bidi="fa-IR"/>
        </w:rPr>
      </w:pPr>
    </w:p>
    <w:p w14:paraId="52DA63C3" w14:textId="1F320F13" w:rsidR="005715B0" w:rsidRPr="000F1953" w:rsidRDefault="005715B0" w:rsidP="00C2358C">
      <w:pPr>
        <w:spacing w:line="240" w:lineRule="auto"/>
        <w:jc w:val="both"/>
        <w:rPr>
          <w:rFonts w:asciiTheme="majorBidi" w:hAnsiTheme="majorBidi" w:cstheme="majorBidi"/>
          <w:sz w:val="20"/>
          <w:szCs w:val="20"/>
          <w:lang w:bidi="fa-IR"/>
        </w:rPr>
      </w:pPr>
    </w:p>
    <w:p w14:paraId="5E792092" w14:textId="67E3649E" w:rsidR="005715B0" w:rsidRPr="000F1953" w:rsidRDefault="005715B0" w:rsidP="00C2358C">
      <w:pPr>
        <w:spacing w:line="240" w:lineRule="auto"/>
        <w:jc w:val="both"/>
        <w:rPr>
          <w:rFonts w:asciiTheme="majorBidi" w:hAnsiTheme="majorBidi" w:cstheme="majorBidi"/>
          <w:sz w:val="20"/>
          <w:szCs w:val="20"/>
          <w:lang w:bidi="fa-IR"/>
        </w:rPr>
      </w:pPr>
    </w:p>
    <w:p w14:paraId="1997EA9A" w14:textId="740FCA51" w:rsidR="005715B0" w:rsidRPr="000F1953" w:rsidRDefault="005715B0" w:rsidP="00C2358C">
      <w:pPr>
        <w:spacing w:line="240" w:lineRule="auto"/>
        <w:jc w:val="both"/>
        <w:rPr>
          <w:rFonts w:asciiTheme="majorBidi" w:hAnsiTheme="majorBidi" w:cstheme="majorBidi"/>
          <w:sz w:val="20"/>
          <w:szCs w:val="20"/>
          <w:lang w:bidi="fa-IR"/>
        </w:rPr>
      </w:pPr>
    </w:p>
    <w:p w14:paraId="6AD92014" w14:textId="77777777" w:rsidR="005715B0" w:rsidRPr="000F1953" w:rsidRDefault="005715B0" w:rsidP="00C2358C">
      <w:pPr>
        <w:tabs>
          <w:tab w:val="left" w:pos="1005"/>
        </w:tabs>
        <w:spacing w:line="240" w:lineRule="auto"/>
        <w:jc w:val="both"/>
        <w:rPr>
          <w:rFonts w:asciiTheme="majorBidi" w:hAnsiTheme="majorBidi" w:cstheme="majorBidi"/>
          <w:sz w:val="20"/>
          <w:szCs w:val="20"/>
          <w:rtl/>
          <w:lang w:bidi="fa-IR"/>
        </w:rPr>
        <w:sectPr w:rsidR="005715B0" w:rsidRPr="000F1953" w:rsidSect="005715B0">
          <w:pgSz w:w="12240" w:h="15840"/>
          <w:pgMar w:top="1440" w:right="1440" w:bottom="1440" w:left="1440" w:header="720" w:footer="720" w:gutter="0"/>
          <w:cols w:space="720"/>
          <w:docGrid w:linePitch="360"/>
        </w:sectPr>
      </w:pPr>
      <w:r w:rsidRPr="000F1953">
        <w:rPr>
          <w:rFonts w:asciiTheme="majorBidi" w:hAnsiTheme="majorBidi" w:cstheme="majorBidi"/>
          <w:sz w:val="20"/>
          <w:szCs w:val="20"/>
          <w:lang w:bidi="fa-IR"/>
        </w:rPr>
        <w:tab/>
      </w:r>
    </w:p>
    <w:p w14:paraId="5B5B2E1F" w14:textId="5785B4AF" w:rsidR="00421BF7" w:rsidRPr="000F1953" w:rsidRDefault="009566A4" w:rsidP="00C2358C">
      <w:pPr>
        <w:pStyle w:val="Caption"/>
        <w:keepNext/>
        <w:spacing w:after="0"/>
        <w:ind w:left="180" w:right="720" w:hanging="540"/>
        <w:jc w:val="both"/>
        <w:rPr>
          <w:rFonts w:asciiTheme="majorBidi" w:hAnsiTheme="majorBidi" w:cstheme="majorBidi"/>
          <w:i w:val="0"/>
          <w:iCs w:val="0"/>
          <w:color w:val="000000" w:themeColor="text1"/>
          <w:sz w:val="20"/>
          <w:szCs w:val="20"/>
        </w:rPr>
      </w:pPr>
      <w:r w:rsidRPr="000F1953">
        <w:rPr>
          <w:rFonts w:asciiTheme="majorBidi" w:hAnsiTheme="majorBidi" w:cstheme="majorBidi"/>
          <w:i w:val="0"/>
          <w:iCs w:val="0"/>
          <w:color w:val="000000" w:themeColor="text1"/>
          <w:sz w:val="20"/>
          <w:szCs w:val="20"/>
        </w:rPr>
        <w:t>Table 4. Comparison of Oxidative Stress and Erythropoiesis Markers between Hb H Patients and Healthy Controls</w:t>
      </w:r>
    </w:p>
    <w:tbl>
      <w:tblPr>
        <w:tblStyle w:val="TableGrid"/>
        <w:tblpPr w:leftFromText="180" w:rightFromText="180" w:vertAnchor="page" w:horzAnchor="margin" w:tblpY="2041"/>
        <w:tblW w:w="8198" w:type="dxa"/>
        <w:tblLayout w:type="fixed"/>
        <w:tblLook w:val="04A0" w:firstRow="1" w:lastRow="0" w:firstColumn="1" w:lastColumn="0" w:noHBand="0" w:noVBand="1"/>
      </w:tblPr>
      <w:tblGrid>
        <w:gridCol w:w="1996"/>
        <w:gridCol w:w="2217"/>
        <w:gridCol w:w="2217"/>
        <w:gridCol w:w="1768"/>
      </w:tblGrid>
      <w:tr w:rsidR="009566A4" w:rsidRPr="000F1953" w14:paraId="1C55B02F" w14:textId="77777777" w:rsidTr="009566A4">
        <w:trPr>
          <w:trHeight w:val="656"/>
        </w:trPr>
        <w:tc>
          <w:tcPr>
            <w:tcW w:w="1996" w:type="dxa"/>
            <w:vAlign w:val="center"/>
          </w:tcPr>
          <w:p w14:paraId="5C75FB8D" w14:textId="77777777" w:rsidR="009566A4" w:rsidRPr="000F1953" w:rsidRDefault="009566A4" w:rsidP="00C2358C">
            <w:pPr>
              <w:rPr>
                <w:rFonts w:asciiTheme="majorBidi" w:hAnsiTheme="majorBidi" w:cstheme="majorBidi"/>
                <w:sz w:val="20"/>
                <w:szCs w:val="20"/>
              </w:rPr>
            </w:pPr>
            <w:r w:rsidRPr="000F1953">
              <w:rPr>
                <w:rFonts w:asciiTheme="majorBidi" w:hAnsiTheme="majorBidi" w:cstheme="majorBidi"/>
                <w:sz w:val="20"/>
                <w:szCs w:val="20"/>
              </w:rPr>
              <w:t>Variable</w:t>
            </w:r>
          </w:p>
        </w:tc>
        <w:tc>
          <w:tcPr>
            <w:tcW w:w="2217" w:type="dxa"/>
            <w:vAlign w:val="center"/>
          </w:tcPr>
          <w:p w14:paraId="35403D9E"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Hb H</w:t>
            </w:r>
          </w:p>
          <w:p w14:paraId="7C88B7BA"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(n=152)</w:t>
            </w:r>
          </w:p>
        </w:tc>
        <w:tc>
          <w:tcPr>
            <w:tcW w:w="2217" w:type="dxa"/>
            <w:vAlign w:val="center"/>
          </w:tcPr>
          <w:p w14:paraId="23FD58E7"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Controls</w:t>
            </w:r>
          </w:p>
          <w:p w14:paraId="494852FC"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(n=14)</w:t>
            </w:r>
          </w:p>
        </w:tc>
        <w:tc>
          <w:tcPr>
            <w:tcW w:w="1768" w:type="dxa"/>
            <w:vAlign w:val="center"/>
          </w:tcPr>
          <w:p w14:paraId="76A468CE"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P-value</w:t>
            </w:r>
          </w:p>
        </w:tc>
      </w:tr>
      <w:tr w:rsidR="009566A4" w:rsidRPr="000F1953" w14:paraId="197BAB5F" w14:textId="77777777" w:rsidTr="009566A4">
        <w:trPr>
          <w:trHeight w:val="328"/>
        </w:trPr>
        <w:tc>
          <w:tcPr>
            <w:tcW w:w="1996" w:type="dxa"/>
            <w:vAlign w:val="center"/>
          </w:tcPr>
          <w:p w14:paraId="1E54AC9B" w14:textId="77777777" w:rsidR="009566A4" w:rsidRPr="000F1953" w:rsidRDefault="009566A4" w:rsidP="00C2358C">
            <w:pPr>
              <w:rPr>
                <w:rFonts w:asciiTheme="majorBidi" w:hAnsiTheme="majorBidi" w:cstheme="majorBidi"/>
                <w:sz w:val="20"/>
                <w:szCs w:val="20"/>
              </w:rPr>
            </w:pPr>
            <w:r w:rsidRPr="000F1953">
              <w:rPr>
                <w:rFonts w:asciiTheme="majorBidi" w:hAnsiTheme="majorBidi" w:cstheme="majorBidi"/>
                <w:sz w:val="20"/>
                <w:szCs w:val="20"/>
              </w:rPr>
              <w:t>MDA</w:t>
            </w:r>
          </w:p>
        </w:tc>
        <w:tc>
          <w:tcPr>
            <w:tcW w:w="2217" w:type="dxa"/>
            <w:vAlign w:val="center"/>
          </w:tcPr>
          <w:p w14:paraId="316E6C42"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3.19±1.35</w:t>
            </w:r>
          </w:p>
        </w:tc>
        <w:tc>
          <w:tcPr>
            <w:tcW w:w="2217" w:type="dxa"/>
            <w:vAlign w:val="center"/>
          </w:tcPr>
          <w:p w14:paraId="743BF16C"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1.50±0.26</w:t>
            </w:r>
          </w:p>
        </w:tc>
        <w:tc>
          <w:tcPr>
            <w:tcW w:w="1768" w:type="dxa"/>
            <w:vAlign w:val="center"/>
          </w:tcPr>
          <w:p w14:paraId="3AA9A715"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&lt;0.001</w:t>
            </w:r>
          </w:p>
        </w:tc>
      </w:tr>
      <w:tr w:rsidR="009566A4" w:rsidRPr="000F1953" w14:paraId="006408FB" w14:textId="77777777" w:rsidTr="009566A4">
        <w:trPr>
          <w:trHeight w:val="328"/>
        </w:trPr>
        <w:tc>
          <w:tcPr>
            <w:tcW w:w="1996" w:type="dxa"/>
            <w:vAlign w:val="center"/>
          </w:tcPr>
          <w:p w14:paraId="386A0DB7" w14:textId="77777777" w:rsidR="009566A4" w:rsidRPr="000F1953" w:rsidRDefault="009566A4" w:rsidP="00C2358C">
            <w:pPr>
              <w:rPr>
                <w:rFonts w:asciiTheme="majorBidi" w:hAnsiTheme="majorBidi" w:cstheme="majorBidi"/>
                <w:sz w:val="20"/>
                <w:szCs w:val="20"/>
              </w:rPr>
            </w:pPr>
            <w:r w:rsidRPr="000F1953">
              <w:rPr>
                <w:rFonts w:asciiTheme="majorBidi" w:hAnsiTheme="majorBidi" w:cstheme="majorBidi"/>
                <w:sz w:val="20"/>
                <w:szCs w:val="20"/>
              </w:rPr>
              <w:t>GDF-15</w:t>
            </w:r>
          </w:p>
        </w:tc>
        <w:tc>
          <w:tcPr>
            <w:tcW w:w="2217" w:type="dxa"/>
            <w:vAlign w:val="center"/>
          </w:tcPr>
          <w:p w14:paraId="579CF3C8"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6002.98±2369.41</w:t>
            </w:r>
          </w:p>
        </w:tc>
        <w:tc>
          <w:tcPr>
            <w:tcW w:w="2217" w:type="dxa"/>
            <w:vAlign w:val="center"/>
          </w:tcPr>
          <w:p w14:paraId="3B411261"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676.28±238.44</w:t>
            </w:r>
          </w:p>
        </w:tc>
        <w:tc>
          <w:tcPr>
            <w:tcW w:w="1768" w:type="dxa"/>
            <w:shd w:val="clear" w:color="auto" w:fill="auto"/>
            <w:vAlign w:val="center"/>
          </w:tcPr>
          <w:p w14:paraId="4A6ADB18" w14:textId="77777777" w:rsidR="009566A4" w:rsidRPr="000F1953" w:rsidRDefault="009566A4" w:rsidP="00C2358C">
            <w:pPr>
              <w:jc w:val="center"/>
              <w:rPr>
                <w:rFonts w:asciiTheme="majorBidi" w:hAnsiTheme="majorBidi" w:cstheme="majorBidi"/>
                <w:sz w:val="20"/>
                <w:szCs w:val="20"/>
              </w:rPr>
            </w:pPr>
            <w:r w:rsidRPr="000F1953">
              <w:rPr>
                <w:rFonts w:asciiTheme="majorBidi" w:hAnsiTheme="majorBidi" w:cstheme="majorBidi"/>
                <w:sz w:val="20"/>
                <w:szCs w:val="20"/>
              </w:rPr>
              <w:t>&lt;0.001</w:t>
            </w:r>
          </w:p>
        </w:tc>
      </w:tr>
    </w:tbl>
    <w:p w14:paraId="296AEE77" w14:textId="5D43CA89" w:rsidR="00833D2B" w:rsidRPr="000F1953" w:rsidRDefault="00833D2B" w:rsidP="00C2358C">
      <w:pPr>
        <w:pStyle w:val="Caption"/>
        <w:keepNext/>
        <w:spacing w:after="0"/>
        <w:ind w:left="450" w:right="720"/>
        <w:jc w:val="both"/>
        <w:rPr>
          <w:rFonts w:asciiTheme="majorBidi" w:hAnsiTheme="majorBidi" w:cstheme="majorBidi"/>
          <w:sz w:val="20"/>
          <w:szCs w:val="20"/>
        </w:rPr>
      </w:pPr>
    </w:p>
    <w:p w14:paraId="0DF30186" w14:textId="77777777" w:rsidR="00DD7D1B" w:rsidRPr="000F1953" w:rsidRDefault="00DD7D1B" w:rsidP="00C2358C">
      <w:pPr>
        <w:tabs>
          <w:tab w:val="left" w:pos="1005"/>
        </w:tabs>
        <w:spacing w:line="240" w:lineRule="auto"/>
        <w:jc w:val="both"/>
        <w:rPr>
          <w:rFonts w:asciiTheme="majorBidi" w:hAnsiTheme="majorBidi" w:cstheme="majorBidi"/>
          <w:sz w:val="24"/>
          <w:szCs w:val="24"/>
          <w:rtl/>
          <w:lang w:bidi="fa-IR"/>
        </w:rPr>
      </w:pPr>
    </w:p>
    <w:p w14:paraId="6C2BF89C" w14:textId="77777777" w:rsidR="00DD7D1B" w:rsidRPr="000F1953" w:rsidRDefault="00DD7D1B" w:rsidP="00C2358C">
      <w:pPr>
        <w:tabs>
          <w:tab w:val="left" w:pos="1005"/>
        </w:tabs>
        <w:spacing w:line="240" w:lineRule="auto"/>
        <w:jc w:val="both"/>
        <w:rPr>
          <w:rFonts w:asciiTheme="majorBidi" w:hAnsiTheme="majorBidi" w:cstheme="majorBidi"/>
          <w:sz w:val="24"/>
          <w:szCs w:val="24"/>
          <w:rtl/>
          <w:lang w:bidi="fa-IR"/>
        </w:rPr>
      </w:pPr>
    </w:p>
    <w:p w14:paraId="46FE80AE" w14:textId="77777777" w:rsidR="00DD7D1B" w:rsidRPr="000F1953" w:rsidRDefault="00DD7D1B" w:rsidP="00C2358C">
      <w:pPr>
        <w:tabs>
          <w:tab w:val="left" w:pos="1005"/>
        </w:tabs>
        <w:spacing w:line="240" w:lineRule="auto"/>
        <w:jc w:val="both"/>
        <w:rPr>
          <w:rFonts w:asciiTheme="majorBidi" w:hAnsiTheme="majorBidi" w:cstheme="majorBidi"/>
          <w:sz w:val="24"/>
          <w:szCs w:val="24"/>
          <w:rtl/>
          <w:lang w:bidi="fa-IR"/>
        </w:rPr>
      </w:pPr>
    </w:p>
    <w:p w14:paraId="63234CD7" w14:textId="77777777" w:rsidR="00DD7D1B" w:rsidRPr="000F1953" w:rsidRDefault="00DD7D1B" w:rsidP="00C2358C">
      <w:pPr>
        <w:tabs>
          <w:tab w:val="left" w:pos="1005"/>
        </w:tabs>
        <w:spacing w:line="240" w:lineRule="auto"/>
        <w:jc w:val="both"/>
        <w:rPr>
          <w:rFonts w:asciiTheme="majorBidi" w:hAnsiTheme="majorBidi" w:cstheme="majorBidi"/>
          <w:sz w:val="24"/>
          <w:szCs w:val="24"/>
          <w:rtl/>
          <w:lang w:bidi="fa-IR"/>
        </w:rPr>
      </w:pPr>
    </w:p>
    <w:p w14:paraId="5B9F6008" w14:textId="77777777" w:rsidR="00DD7D1B" w:rsidRPr="000F1953" w:rsidRDefault="00DD7D1B" w:rsidP="00C2358C">
      <w:pPr>
        <w:tabs>
          <w:tab w:val="left" w:pos="1005"/>
        </w:tabs>
        <w:spacing w:line="240" w:lineRule="auto"/>
        <w:jc w:val="both"/>
        <w:rPr>
          <w:rFonts w:asciiTheme="majorBidi" w:hAnsiTheme="majorBidi" w:cstheme="majorBidi"/>
          <w:sz w:val="24"/>
          <w:szCs w:val="24"/>
          <w:lang w:bidi="fa-IR"/>
        </w:rPr>
      </w:pPr>
    </w:p>
    <w:p w14:paraId="548B4140" w14:textId="77777777" w:rsidR="00956941" w:rsidRPr="000F1953" w:rsidRDefault="00956941" w:rsidP="00C2358C">
      <w:pPr>
        <w:tabs>
          <w:tab w:val="left" w:pos="1005"/>
        </w:tabs>
        <w:spacing w:line="240" w:lineRule="auto"/>
        <w:jc w:val="both"/>
        <w:rPr>
          <w:rFonts w:asciiTheme="majorBidi" w:hAnsiTheme="majorBidi" w:cstheme="majorBidi"/>
          <w:sz w:val="24"/>
          <w:szCs w:val="24"/>
          <w:lang w:bidi="fa-IR"/>
        </w:rPr>
      </w:pPr>
    </w:p>
    <w:p w14:paraId="79EB1083" w14:textId="77777777" w:rsidR="00956941" w:rsidRPr="000F1953" w:rsidRDefault="00956941" w:rsidP="00C2358C">
      <w:pPr>
        <w:tabs>
          <w:tab w:val="left" w:pos="1005"/>
        </w:tabs>
        <w:spacing w:line="240" w:lineRule="auto"/>
        <w:jc w:val="both"/>
        <w:rPr>
          <w:rFonts w:asciiTheme="majorBidi" w:hAnsiTheme="majorBidi" w:cstheme="majorBidi"/>
          <w:sz w:val="24"/>
          <w:szCs w:val="24"/>
          <w:lang w:bidi="fa-IR"/>
        </w:rPr>
      </w:pPr>
    </w:p>
    <w:p w14:paraId="7F76EB14" w14:textId="77777777" w:rsidR="00956941" w:rsidRPr="000F1953" w:rsidRDefault="00956941" w:rsidP="00C2358C">
      <w:pPr>
        <w:tabs>
          <w:tab w:val="left" w:pos="1005"/>
        </w:tabs>
        <w:spacing w:line="240" w:lineRule="auto"/>
        <w:jc w:val="both"/>
        <w:rPr>
          <w:rFonts w:asciiTheme="majorBidi" w:hAnsiTheme="majorBidi" w:cstheme="majorBidi"/>
          <w:sz w:val="24"/>
          <w:szCs w:val="24"/>
          <w:lang w:bidi="fa-IR"/>
        </w:rPr>
      </w:pPr>
    </w:p>
    <w:p w14:paraId="42039B05" w14:textId="6955A604" w:rsidR="00881A9A" w:rsidRPr="000F1953" w:rsidRDefault="00881A9A" w:rsidP="00C2358C">
      <w:pPr>
        <w:spacing w:line="240" w:lineRule="auto"/>
        <w:rPr>
          <w:rFonts w:asciiTheme="majorBidi" w:hAnsiTheme="majorBidi" w:cstheme="majorBidi"/>
          <w:sz w:val="24"/>
          <w:szCs w:val="24"/>
          <w:lang w:bidi="fa-IR"/>
        </w:rPr>
      </w:pPr>
    </w:p>
    <w:p w14:paraId="15CEE2CA" w14:textId="3CDF121C" w:rsidR="00FE72EA" w:rsidRPr="000F1953" w:rsidRDefault="00FE72EA" w:rsidP="00C2358C">
      <w:pPr>
        <w:spacing w:line="240" w:lineRule="auto"/>
        <w:rPr>
          <w:rFonts w:asciiTheme="majorBidi" w:hAnsiTheme="majorBidi" w:cstheme="majorBidi"/>
          <w:sz w:val="24"/>
          <w:szCs w:val="24"/>
          <w:lang w:bidi="fa-IR"/>
        </w:rPr>
      </w:pPr>
    </w:p>
    <w:p w14:paraId="54C694E3" w14:textId="614AA4B3" w:rsidR="00FE72EA" w:rsidRPr="000F1953" w:rsidRDefault="00FE72EA" w:rsidP="00C2358C">
      <w:pPr>
        <w:spacing w:line="240" w:lineRule="auto"/>
        <w:rPr>
          <w:rFonts w:asciiTheme="majorBidi" w:hAnsiTheme="majorBidi" w:cstheme="majorBidi"/>
          <w:sz w:val="24"/>
          <w:szCs w:val="24"/>
          <w:lang w:bidi="fa-IR"/>
        </w:rPr>
      </w:pPr>
    </w:p>
    <w:p w14:paraId="2DA15012" w14:textId="77777777" w:rsidR="00956941" w:rsidRPr="000F1953" w:rsidRDefault="00956941" w:rsidP="00C2358C">
      <w:pPr>
        <w:keepNext/>
        <w:spacing w:line="240" w:lineRule="auto"/>
        <w:rPr>
          <w:rFonts w:asciiTheme="majorBidi" w:hAnsiTheme="majorBidi" w:cstheme="majorBidi"/>
          <w:sz w:val="24"/>
          <w:szCs w:val="24"/>
        </w:rPr>
      </w:pPr>
      <w:r w:rsidRPr="000F1953">
        <w:rPr>
          <w:rFonts w:asciiTheme="majorBidi" w:hAnsiTheme="majorBidi" w:cstheme="majorBidi"/>
          <w:noProof/>
          <w:sz w:val="24"/>
          <w:szCs w:val="24"/>
        </w:rPr>
        <w:drawing>
          <wp:inline distT="0" distB="0" distL="0" distR="0" wp14:anchorId="03AD74EC" wp14:editId="1A44D9E2">
            <wp:extent cx="5943600" cy="5242560"/>
            <wp:effectExtent l="0" t="0" r="0" b="0"/>
            <wp:docPr id="549932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242560"/>
                    </a:xfrm>
                    <a:prstGeom prst="rect">
                      <a:avLst/>
                    </a:prstGeom>
                    <a:noFill/>
                    <a:ln>
                      <a:noFill/>
                    </a:ln>
                  </pic:spPr>
                </pic:pic>
              </a:graphicData>
            </a:graphic>
          </wp:inline>
        </w:drawing>
      </w:r>
    </w:p>
    <w:p w14:paraId="079D57E0" w14:textId="6D298C4F" w:rsidR="00FE72EA" w:rsidRPr="000F1953" w:rsidRDefault="00956941" w:rsidP="00C2358C">
      <w:pPr>
        <w:pStyle w:val="Caption"/>
        <w:jc w:val="both"/>
        <w:rPr>
          <w:rFonts w:asciiTheme="majorBidi" w:hAnsiTheme="majorBidi" w:cstheme="majorBidi"/>
          <w:i w:val="0"/>
          <w:iCs w:val="0"/>
          <w:color w:val="000000" w:themeColor="text1"/>
          <w:sz w:val="20"/>
          <w:szCs w:val="20"/>
          <w:lang w:bidi="fa-IR"/>
        </w:rPr>
      </w:pPr>
      <w:r w:rsidRPr="000F1953">
        <w:rPr>
          <w:rFonts w:asciiTheme="majorBidi" w:hAnsiTheme="majorBidi" w:cstheme="majorBidi"/>
          <w:i w:val="0"/>
          <w:iCs w:val="0"/>
          <w:color w:val="000000" w:themeColor="text1"/>
          <w:sz w:val="20"/>
          <w:szCs w:val="20"/>
        </w:rPr>
        <w:t xml:space="preserve">Figure </w:t>
      </w:r>
      <w:r w:rsidRPr="000F1953">
        <w:rPr>
          <w:rFonts w:asciiTheme="majorBidi" w:hAnsiTheme="majorBidi" w:cstheme="majorBidi"/>
          <w:i w:val="0"/>
          <w:iCs w:val="0"/>
          <w:color w:val="000000" w:themeColor="text1"/>
          <w:sz w:val="20"/>
          <w:szCs w:val="20"/>
        </w:rPr>
        <w:fldChar w:fldCharType="begin"/>
      </w:r>
      <w:r w:rsidRPr="000F1953">
        <w:rPr>
          <w:rFonts w:asciiTheme="majorBidi" w:hAnsiTheme="majorBidi" w:cstheme="majorBidi"/>
          <w:i w:val="0"/>
          <w:iCs w:val="0"/>
          <w:color w:val="000000" w:themeColor="text1"/>
          <w:sz w:val="20"/>
          <w:szCs w:val="20"/>
        </w:rPr>
        <w:instrText xml:space="preserve"> SEQ Figure \* ARABIC </w:instrText>
      </w:r>
      <w:r w:rsidRPr="000F1953">
        <w:rPr>
          <w:rFonts w:asciiTheme="majorBidi" w:hAnsiTheme="majorBidi" w:cstheme="majorBidi"/>
          <w:i w:val="0"/>
          <w:iCs w:val="0"/>
          <w:color w:val="000000" w:themeColor="text1"/>
          <w:sz w:val="20"/>
          <w:szCs w:val="20"/>
        </w:rPr>
        <w:fldChar w:fldCharType="separate"/>
      </w:r>
      <w:r w:rsidRPr="000F1953">
        <w:rPr>
          <w:rFonts w:asciiTheme="majorBidi" w:hAnsiTheme="majorBidi" w:cstheme="majorBidi"/>
          <w:i w:val="0"/>
          <w:iCs w:val="0"/>
          <w:noProof/>
          <w:color w:val="000000" w:themeColor="text1"/>
          <w:sz w:val="20"/>
          <w:szCs w:val="20"/>
        </w:rPr>
        <w:t>1</w:t>
      </w:r>
      <w:r w:rsidRPr="000F1953">
        <w:rPr>
          <w:rFonts w:asciiTheme="majorBidi" w:hAnsiTheme="majorBidi" w:cstheme="majorBidi"/>
          <w:i w:val="0"/>
          <w:iCs w:val="0"/>
          <w:color w:val="000000" w:themeColor="text1"/>
          <w:sz w:val="20"/>
          <w:szCs w:val="20"/>
        </w:rPr>
        <w:fldChar w:fldCharType="end"/>
      </w:r>
      <w:r w:rsidRPr="000F1953">
        <w:rPr>
          <w:rFonts w:asciiTheme="majorBidi" w:hAnsiTheme="majorBidi" w:cstheme="majorBidi"/>
          <w:i w:val="0"/>
          <w:iCs w:val="0"/>
          <w:color w:val="000000" w:themeColor="text1"/>
          <w:sz w:val="20"/>
          <w:szCs w:val="20"/>
          <w:lang w:bidi="fa-IR"/>
        </w:rPr>
        <w:t>: (Part A) Comparison of GDF15 levels among control, TD, NTD, and OTD patients. (Part B) GDF15 levels based on transfusion status: ND/ND, ND/D, and D/D. (Part C–F) Correlation analyses between GDF15 levels and: (Part C) ferritin, (Part D) total bilirubin, (Part E) hemoglobin (Hb), and (Part F) reticulocyte count (RETIC). (Part G) GDF15 levels before and after the blood transfusion in TD patients.</w:t>
      </w:r>
    </w:p>
    <w:p w14:paraId="63435D9C" w14:textId="2A6B1E30" w:rsidR="00FE72EA" w:rsidRPr="000F1953" w:rsidRDefault="00FE72EA" w:rsidP="00C2358C">
      <w:pPr>
        <w:spacing w:line="240" w:lineRule="auto"/>
        <w:rPr>
          <w:rFonts w:asciiTheme="majorBidi" w:hAnsiTheme="majorBidi" w:cstheme="majorBidi"/>
          <w:sz w:val="24"/>
          <w:szCs w:val="24"/>
          <w:lang w:bidi="fa-IR"/>
        </w:rPr>
      </w:pPr>
    </w:p>
    <w:p w14:paraId="641B2D57" w14:textId="01A76103" w:rsidR="00FE72EA" w:rsidRPr="000F1953" w:rsidRDefault="00FE72EA" w:rsidP="00C2358C">
      <w:pPr>
        <w:spacing w:line="240" w:lineRule="auto"/>
        <w:rPr>
          <w:rFonts w:asciiTheme="majorBidi" w:hAnsiTheme="majorBidi" w:cstheme="majorBidi"/>
          <w:sz w:val="24"/>
          <w:szCs w:val="24"/>
          <w:lang w:bidi="fa-IR"/>
        </w:rPr>
      </w:pPr>
    </w:p>
    <w:p w14:paraId="5F36AB37" w14:textId="65146CEB" w:rsidR="00FE72EA" w:rsidRPr="000F1953" w:rsidRDefault="00FE72EA" w:rsidP="00C2358C">
      <w:pPr>
        <w:spacing w:line="240" w:lineRule="auto"/>
        <w:rPr>
          <w:rFonts w:asciiTheme="majorBidi" w:hAnsiTheme="majorBidi" w:cstheme="majorBidi"/>
          <w:sz w:val="24"/>
          <w:szCs w:val="24"/>
          <w:lang w:bidi="fa-IR"/>
        </w:rPr>
      </w:pPr>
    </w:p>
    <w:p w14:paraId="4F39D11F" w14:textId="77777777" w:rsidR="00956941" w:rsidRPr="000F1953" w:rsidRDefault="00956941" w:rsidP="00C2358C">
      <w:pPr>
        <w:keepNext/>
        <w:spacing w:line="240" w:lineRule="auto"/>
        <w:rPr>
          <w:rFonts w:asciiTheme="majorBidi" w:hAnsiTheme="majorBidi" w:cstheme="majorBidi"/>
          <w:sz w:val="24"/>
          <w:szCs w:val="24"/>
        </w:rPr>
      </w:pPr>
      <w:r w:rsidRPr="000F1953">
        <w:rPr>
          <w:rFonts w:asciiTheme="majorBidi" w:hAnsiTheme="majorBidi" w:cstheme="majorBidi"/>
          <w:noProof/>
          <w:sz w:val="24"/>
          <w:szCs w:val="24"/>
        </w:rPr>
        <w:drawing>
          <wp:inline distT="0" distB="0" distL="0" distR="0" wp14:anchorId="23A36021" wp14:editId="1A71C951">
            <wp:extent cx="5943600" cy="6933565"/>
            <wp:effectExtent l="0" t="0" r="0" b="635"/>
            <wp:docPr id="117884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933565"/>
                    </a:xfrm>
                    <a:prstGeom prst="rect">
                      <a:avLst/>
                    </a:prstGeom>
                    <a:noFill/>
                    <a:ln>
                      <a:noFill/>
                    </a:ln>
                  </pic:spPr>
                </pic:pic>
              </a:graphicData>
            </a:graphic>
          </wp:inline>
        </w:drawing>
      </w:r>
    </w:p>
    <w:p w14:paraId="0187F92D" w14:textId="42A9B534" w:rsidR="00956941" w:rsidRPr="000F1953" w:rsidRDefault="00956941" w:rsidP="00C2358C">
      <w:pPr>
        <w:pStyle w:val="Caption"/>
        <w:rPr>
          <w:rFonts w:asciiTheme="majorBidi" w:hAnsiTheme="majorBidi" w:cstheme="majorBidi"/>
          <w:i w:val="0"/>
          <w:iCs w:val="0"/>
          <w:color w:val="000000" w:themeColor="text1"/>
          <w:sz w:val="20"/>
          <w:szCs w:val="20"/>
        </w:rPr>
      </w:pPr>
      <w:r w:rsidRPr="000F1953">
        <w:rPr>
          <w:rFonts w:asciiTheme="majorBidi" w:hAnsiTheme="majorBidi" w:cstheme="majorBidi"/>
          <w:i w:val="0"/>
          <w:iCs w:val="0"/>
          <w:color w:val="000000" w:themeColor="text1"/>
          <w:sz w:val="20"/>
          <w:szCs w:val="20"/>
        </w:rPr>
        <w:t xml:space="preserve">Figure </w:t>
      </w:r>
      <w:r w:rsidR="00394C47" w:rsidRPr="000F1953">
        <w:rPr>
          <w:rFonts w:asciiTheme="majorBidi" w:hAnsiTheme="majorBidi" w:cstheme="majorBidi"/>
          <w:i w:val="0"/>
          <w:iCs w:val="0"/>
          <w:color w:val="000000" w:themeColor="text1"/>
          <w:sz w:val="20"/>
          <w:szCs w:val="20"/>
        </w:rPr>
        <w:t>2</w:t>
      </w:r>
      <w:r w:rsidRPr="000F1953">
        <w:rPr>
          <w:rFonts w:asciiTheme="majorBidi" w:hAnsiTheme="majorBidi" w:cstheme="majorBidi"/>
          <w:i w:val="0"/>
          <w:iCs w:val="0"/>
          <w:color w:val="000000" w:themeColor="text1"/>
          <w:sz w:val="20"/>
          <w:szCs w:val="20"/>
          <w:lang w:bidi="fa-IR"/>
        </w:rPr>
        <w:t>: (Part A) Comparison of MDA levels among control, TD, NTD, and OTD patients. (Part B) MDA levels based on transfusion status: ND/ND, ND/D, and D/D. (Part C–F) Correlation analyses between MDA levels and: (Part C) ferritin, (Part D) CRP, (Part E) hemoglobin (Hb), and (Part F) GDF15 levels.</w:t>
      </w:r>
    </w:p>
    <w:p w14:paraId="480BB535" w14:textId="586ED537" w:rsidR="00FE72EA" w:rsidRPr="000F1953" w:rsidRDefault="00FE72EA" w:rsidP="00C2358C">
      <w:pPr>
        <w:pStyle w:val="Caption"/>
        <w:rPr>
          <w:rFonts w:asciiTheme="majorBidi" w:hAnsiTheme="majorBidi" w:cstheme="majorBidi"/>
          <w:sz w:val="24"/>
          <w:szCs w:val="24"/>
          <w:lang w:bidi="fa-IR"/>
        </w:rPr>
      </w:pPr>
    </w:p>
    <w:p w14:paraId="4AF0CB1A" w14:textId="12AC8AA7" w:rsidR="00FE72EA" w:rsidRPr="000F1953" w:rsidRDefault="00FE72EA" w:rsidP="00C2358C">
      <w:pPr>
        <w:spacing w:line="240" w:lineRule="auto"/>
        <w:rPr>
          <w:rFonts w:asciiTheme="majorBidi" w:hAnsiTheme="majorBidi" w:cstheme="majorBidi"/>
          <w:sz w:val="24"/>
          <w:szCs w:val="24"/>
          <w:lang w:bidi="fa-IR"/>
        </w:rPr>
      </w:pPr>
    </w:p>
    <w:p w14:paraId="3DBB9377" w14:textId="77777777" w:rsidR="00956941" w:rsidRPr="000F1953" w:rsidRDefault="00956941" w:rsidP="00C2358C">
      <w:pPr>
        <w:keepNext/>
        <w:spacing w:line="240" w:lineRule="auto"/>
        <w:jc w:val="center"/>
        <w:rPr>
          <w:rFonts w:asciiTheme="majorBidi" w:hAnsiTheme="majorBidi" w:cstheme="majorBidi"/>
          <w:sz w:val="24"/>
          <w:szCs w:val="24"/>
        </w:rPr>
      </w:pPr>
      <w:r w:rsidRPr="000F1953">
        <w:rPr>
          <w:rFonts w:asciiTheme="majorBidi" w:hAnsiTheme="majorBidi" w:cstheme="majorBidi"/>
          <w:noProof/>
          <w:sz w:val="24"/>
          <w:szCs w:val="24"/>
        </w:rPr>
        <w:drawing>
          <wp:inline distT="0" distB="0" distL="0" distR="0" wp14:anchorId="7B9D3A3F" wp14:editId="1EA087E5">
            <wp:extent cx="4867275" cy="4501515"/>
            <wp:effectExtent l="0" t="0" r="9525" b="0"/>
            <wp:docPr id="1018219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9604" cy="4522166"/>
                    </a:xfrm>
                    <a:prstGeom prst="rect">
                      <a:avLst/>
                    </a:prstGeom>
                    <a:noFill/>
                    <a:ln>
                      <a:noFill/>
                    </a:ln>
                  </pic:spPr>
                </pic:pic>
              </a:graphicData>
            </a:graphic>
          </wp:inline>
        </w:drawing>
      </w:r>
    </w:p>
    <w:p w14:paraId="6C4CEA10" w14:textId="00FB86C8" w:rsidR="00DD7D1B" w:rsidRPr="000F1953" w:rsidRDefault="00956941" w:rsidP="00C2358C">
      <w:pPr>
        <w:pStyle w:val="Caption"/>
        <w:rPr>
          <w:rFonts w:asciiTheme="majorBidi" w:hAnsiTheme="majorBidi" w:cstheme="majorBidi"/>
          <w:i w:val="0"/>
          <w:iCs w:val="0"/>
          <w:color w:val="000000" w:themeColor="text1"/>
          <w:sz w:val="20"/>
          <w:szCs w:val="20"/>
          <w:rtl/>
          <w:lang w:bidi="fa-IR"/>
        </w:rPr>
      </w:pPr>
      <w:r w:rsidRPr="000F1953">
        <w:rPr>
          <w:rFonts w:asciiTheme="majorBidi" w:hAnsiTheme="majorBidi" w:cstheme="majorBidi"/>
          <w:i w:val="0"/>
          <w:iCs w:val="0"/>
          <w:color w:val="000000" w:themeColor="text1"/>
          <w:sz w:val="20"/>
          <w:szCs w:val="20"/>
        </w:rPr>
        <w:t xml:space="preserve">Figure </w:t>
      </w:r>
      <w:r w:rsidR="001952F0" w:rsidRPr="000F1953">
        <w:rPr>
          <w:rFonts w:asciiTheme="majorBidi" w:hAnsiTheme="majorBidi" w:cstheme="majorBidi"/>
          <w:i w:val="0"/>
          <w:iCs w:val="0"/>
          <w:color w:val="000000" w:themeColor="text1"/>
          <w:sz w:val="20"/>
          <w:szCs w:val="20"/>
        </w:rPr>
        <w:fldChar w:fldCharType="begin"/>
      </w:r>
      <w:r w:rsidR="001952F0" w:rsidRPr="000F1953">
        <w:rPr>
          <w:rFonts w:asciiTheme="majorBidi" w:hAnsiTheme="majorBidi" w:cstheme="majorBidi"/>
          <w:i w:val="0"/>
          <w:iCs w:val="0"/>
          <w:color w:val="000000" w:themeColor="text1"/>
          <w:sz w:val="20"/>
          <w:szCs w:val="20"/>
        </w:rPr>
        <w:instrText xml:space="preserve"> SEQ Figure \* ARABIC </w:instrText>
      </w:r>
      <w:r w:rsidR="001952F0" w:rsidRPr="000F1953">
        <w:rPr>
          <w:rFonts w:asciiTheme="majorBidi" w:hAnsiTheme="majorBidi" w:cstheme="majorBidi"/>
          <w:i w:val="0"/>
          <w:iCs w:val="0"/>
          <w:color w:val="000000" w:themeColor="text1"/>
          <w:sz w:val="20"/>
          <w:szCs w:val="20"/>
        </w:rPr>
        <w:fldChar w:fldCharType="separate"/>
      </w:r>
      <w:r w:rsidRPr="000F1953">
        <w:rPr>
          <w:rFonts w:asciiTheme="majorBidi" w:hAnsiTheme="majorBidi" w:cstheme="majorBidi"/>
          <w:i w:val="0"/>
          <w:iCs w:val="0"/>
          <w:noProof/>
          <w:color w:val="000000" w:themeColor="text1"/>
          <w:sz w:val="20"/>
          <w:szCs w:val="20"/>
        </w:rPr>
        <w:t>3</w:t>
      </w:r>
      <w:r w:rsidR="001952F0" w:rsidRPr="000F1953">
        <w:rPr>
          <w:rFonts w:asciiTheme="majorBidi" w:hAnsiTheme="majorBidi" w:cstheme="majorBidi"/>
          <w:i w:val="0"/>
          <w:iCs w:val="0"/>
          <w:noProof/>
          <w:color w:val="000000" w:themeColor="text1"/>
          <w:sz w:val="20"/>
          <w:szCs w:val="20"/>
        </w:rPr>
        <w:fldChar w:fldCharType="end"/>
      </w:r>
      <w:r w:rsidRPr="000F1953">
        <w:rPr>
          <w:rFonts w:asciiTheme="majorBidi" w:hAnsiTheme="majorBidi" w:cstheme="majorBidi"/>
          <w:i w:val="0"/>
          <w:iCs w:val="0"/>
          <w:color w:val="000000" w:themeColor="text1"/>
          <w:sz w:val="20"/>
          <w:szCs w:val="20"/>
          <w:lang w:bidi="fa-IR"/>
        </w:rPr>
        <w:t>: Comparison of MDA, Reticulocyte Count, and CRP Levels Between Splenectomized (Yes) and Non-Splenectomized (NO) Hb H Patients.</w:t>
      </w:r>
      <w:r w:rsidR="00881A9A" w:rsidRPr="000F1953">
        <w:rPr>
          <w:rFonts w:asciiTheme="majorBidi" w:hAnsiTheme="majorBidi" w:cstheme="majorBidi"/>
          <w:i w:val="0"/>
          <w:iCs w:val="0"/>
          <w:color w:val="000000" w:themeColor="text1"/>
          <w:sz w:val="20"/>
          <w:szCs w:val="20"/>
          <w:lang w:bidi="fa-IR"/>
        </w:rPr>
        <w:tab/>
      </w:r>
    </w:p>
    <w:p w14:paraId="244A8D8E" w14:textId="5B254BAA" w:rsidR="005715B0" w:rsidRPr="000F1953" w:rsidRDefault="005715B0" w:rsidP="00C2358C">
      <w:pPr>
        <w:tabs>
          <w:tab w:val="left" w:pos="1005"/>
        </w:tabs>
        <w:spacing w:line="240" w:lineRule="auto"/>
        <w:jc w:val="both"/>
        <w:rPr>
          <w:rFonts w:asciiTheme="majorBidi" w:hAnsiTheme="majorBidi" w:cstheme="majorBidi"/>
          <w:sz w:val="24"/>
          <w:szCs w:val="24"/>
          <w:lang w:bidi="fa-IR"/>
        </w:rPr>
      </w:pPr>
    </w:p>
    <w:p w14:paraId="40D492BF" w14:textId="360E88FF" w:rsidR="005715B0" w:rsidRPr="000F1953" w:rsidRDefault="005715B0" w:rsidP="00C2358C">
      <w:pPr>
        <w:tabs>
          <w:tab w:val="left" w:pos="1005"/>
        </w:tabs>
        <w:spacing w:line="240" w:lineRule="auto"/>
        <w:jc w:val="both"/>
        <w:rPr>
          <w:rFonts w:asciiTheme="majorBidi" w:hAnsiTheme="majorBidi" w:cstheme="majorBidi"/>
          <w:sz w:val="24"/>
          <w:szCs w:val="24"/>
          <w:lang w:bidi="fa-IR"/>
        </w:rPr>
      </w:pPr>
    </w:p>
    <w:p w14:paraId="66AA6FC8" w14:textId="338F40FF" w:rsidR="005715B0" w:rsidRPr="000F1953" w:rsidRDefault="005715B0" w:rsidP="00C2358C">
      <w:pPr>
        <w:tabs>
          <w:tab w:val="left" w:pos="1005"/>
        </w:tabs>
        <w:spacing w:line="240" w:lineRule="auto"/>
        <w:jc w:val="both"/>
        <w:rPr>
          <w:rFonts w:asciiTheme="majorBidi" w:hAnsiTheme="majorBidi" w:cstheme="majorBidi"/>
          <w:sz w:val="24"/>
          <w:szCs w:val="24"/>
          <w:lang w:bidi="fa-IR"/>
        </w:rPr>
      </w:pPr>
    </w:p>
    <w:p w14:paraId="5CD5C1E6" w14:textId="5715E2A5" w:rsidR="005715B0" w:rsidRPr="000F1953" w:rsidRDefault="005715B0" w:rsidP="00C2358C">
      <w:pPr>
        <w:tabs>
          <w:tab w:val="left" w:pos="1005"/>
        </w:tabs>
        <w:spacing w:line="240" w:lineRule="auto"/>
        <w:jc w:val="both"/>
        <w:rPr>
          <w:rFonts w:asciiTheme="majorBidi" w:hAnsiTheme="majorBidi" w:cstheme="majorBidi"/>
          <w:sz w:val="24"/>
          <w:szCs w:val="24"/>
          <w:rtl/>
          <w:lang w:bidi="fa-IR"/>
        </w:rPr>
      </w:pPr>
    </w:p>
    <w:sectPr w:rsidR="005715B0" w:rsidRPr="000F1953" w:rsidSect="00DD7D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A8C21" w14:textId="77777777" w:rsidR="007E1F8B" w:rsidRDefault="007E1F8B" w:rsidP="00944778">
      <w:pPr>
        <w:spacing w:after="0" w:line="240" w:lineRule="auto"/>
      </w:pPr>
      <w:r>
        <w:separator/>
      </w:r>
    </w:p>
  </w:endnote>
  <w:endnote w:type="continuationSeparator" w:id="0">
    <w:p w14:paraId="15D29DFF" w14:textId="77777777" w:rsidR="007E1F8B" w:rsidRDefault="007E1F8B" w:rsidP="00944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841293"/>
      <w:docPartObj>
        <w:docPartGallery w:val="Page Numbers (Bottom of Page)"/>
        <w:docPartUnique/>
      </w:docPartObj>
    </w:sdtPr>
    <w:sdtEndPr>
      <w:rPr>
        <w:noProof/>
      </w:rPr>
    </w:sdtEndPr>
    <w:sdtContent>
      <w:p w14:paraId="762730F5" w14:textId="409A606B" w:rsidR="004D2F38" w:rsidRDefault="004D2F38">
        <w:pPr>
          <w:pStyle w:val="Footer"/>
          <w:jc w:val="center"/>
        </w:pPr>
        <w:r>
          <w:fldChar w:fldCharType="begin"/>
        </w:r>
        <w:r>
          <w:instrText xml:space="preserve"> PAGE   \* MERGEFORMAT </w:instrText>
        </w:r>
        <w:r>
          <w:fldChar w:fldCharType="separate"/>
        </w:r>
        <w:r w:rsidR="007E1F8B">
          <w:rPr>
            <w:noProof/>
          </w:rPr>
          <w:t>1</w:t>
        </w:r>
        <w:r>
          <w:rPr>
            <w:noProof/>
          </w:rPr>
          <w:fldChar w:fldCharType="end"/>
        </w:r>
      </w:p>
    </w:sdtContent>
  </w:sdt>
  <w:p w14:paraId="12E7B7EF" w14:textId="77777777" w:rsidR="004D2F38" w:rsidRDefault="004D2F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8493B" w14:textId="77777777" w:rsidR="007E1F8B" w:rsidRDefault="007E1F8B" w:rsidP="00944778">
      <w:pPr>
        <w:spacing w:after="0" w:line="240" w:lineRule="auto"/>
      </w:pPr>
      <w:r>
        <w:separator/>
      </w:r>
    </w:p>
  </w:footnote>
  <w:footnote w:type="continuationSeparator" w:id="0">
    <w:p w14:paraId="76A34C74" w14:textId="77777777" w:rsidR="007E1F8B" w:rsidRDefault="007E1F8B" w:rsidP="00944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82154"/>
    <w:multiLevelType w:val="hybridMultilevel"/>
    <w:tmpl w:val="A322B8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2810C91"/>
    <w:multiLevelType w:val="hybridMultilevel"/>
    <w:tmpl w:val="6B4A5BCA"/>
    <w:lvl w:ilvl="0" w:tplc="067E7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E11C1F"/>
    <w:multiLevelType w:val="hybridMultilevel"/>
    <w:tmpl w:val="6B4A5BCA"/>
    <w:lvl w:ilvl="0" w:tplc="067E7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581DEC"/>
    <w:multiLevelType w:val="multilevel"/>
    <w:tmpl w:val="55D64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BJ&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pp5pa0laz0wtewve755txcsrrxa2vxvxp9&quot;&gt;ibj&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196527"/>
    <w:rsid w:val="00010FAD"/>
    <w:rsid w:val="00017B0B"/>
    <w:rsid w:val="00023C07"/>
    <w:rsid w:val="000247D8"/>
    <w:rsid w:val="00030B20"/>
    <w:rsid w:val="00030FD9"/>
    <w:rsid w:val="0003363A"/>
    <w:rsid w:val="00033B9F"/>
    <w:rsid w:val="00034AD4"/>
    <w:rsid w:val="000407CC"/>
    <w:rsid w:val="00041CAE"/>
    <w:rsid w:val="00050455"/>
    <w:rsid w:val="000555CA"/>
    <w:rsid w:val="00062881"/>
    <w:rsid w:val="00076488"/>
    <w:rsid w:val="00083CFE"/>
    <w:rsid w:val="00094D62"/>
    <w:rsid w:val="0009557E"/>
    <w:rsid w:val="000961CE"/>
    <w:rsid w:val="000976D6"/>
    <w:rsid w:val="000A2F8B"/>
    <w:rsid w:val="000A494A"/>
    <w:rsid w:val="000A5B87"/>
    <w:rsid w:val="000B15B0"/>
    <w:rsid w:val="000C0C9F"/>
    <w:rsid w:val="000C0CA8"/>
    <w:rsid w:val="000C2DA7"/>
    <w:rsid w:val="000C4351"/>
    <w:rsid w:val="000D2D32"/>
    <w:rsid w:val="000E05F5"/>
    <w:rsid w:val="000E06B4"/>
    <w:rsid w:val="000E1C15"/>
    <w:rsid w:val="000F1953"/>
    <w:rsid w:val="000F2064"/>
    <w:rsid w:val="000F2D30"/>
    <w:rsid w:val="000F60B3"/>
    <w:rsid w:val="000F65B0"/>
    <w:rsid w:val="0010017A"/>
    <w:rsid w:val="00102C75"/>
    <w:rsid w:val="0010378C"/>
    <w:rsid w:val="00120283"/>
    <w:rsid w:val="00137DD6"/>
    <w:rsid w:val="0014330B"/>
    <w:rsid w:val="00153289"/>
    <w:rsid w:val="00155FF4"/>
    <w:rsid w:val="00156079"/>
    <w:rsid w:val="001574C9"/>
    <w:rsid w:val="00167F90"/>
    <w:rsid w:val="00172070"/>
    <w:rsid w:val="00182EEC"/>
    <w:rsid w:val="001860E9"/>
    <w:rsid w:val="001952F0"/>
    <w:rsid w:val="00196527"/>
    <w:rsid w:val="001A3AF5"/>
    <w:rsid w:val="001B3275"/>
    <w:rsid w:val="001B59A6"/>
    <w:rsid w:val="001C49A1"/>
    <w:rsid w:val="001C514E"/>
    <w:rsid w:val="001D4013"/>
    <w:rsid w:val="001D4EF1"/>
    <w:rsid w:val="001D5A14"/>
    <w:rsid w:val="001D7C46"/>
    <w:rsid w:val="001F0BB7"/>
    <w:rsid w:val="001F0D4F"/>
    <w:rsid w:val="001F12DD"/>
    <w:rsid w:val="001F5B00"/>
    <w:rsid w:val="00204002"/>
    <w:rsid w:val="00204DCB"/>
    <w:rsid w:val="00204F04"/>
    <w:rsid w:val="00215939"/>
    <w:rsid w:val="0022033A"/>
    <w:rsid w:val="0022035C"/>
    <w:rsid w:val="00223D2F"/>
    <w:rsid w:val="00226E5D"/>
    <w:rsid w:val="00227CDA"/>
    <w:rsid w:val="00232F77"/>
    <w:rsid w:val="002361E0"/>
    <w:rsid w:val="00237EFB"/>
    <w:rsid w:val="002439BC"/>
    <w:rsid w:val="002504A8"/>
    <w:rsid w:val="00260466"/>
    <w:rsid w:val="002641E9"/>
    <w:rsid w:val="0027134C"/>
    <w:rsid w:val="00277E41"/>
    <w:rsid w:val="002847AA"/>
    <w:rsid w:val="00296125"/>
    <w:rsid w:val="002A0D5B"/>
    <w:rsid w:val="002A142F"/>
    <w:rsid w:val="002A25B9"/>
    <w:rsid w:val="002B0EBE"/>
    <w:rsid w:val="002C621B"/>
    <w:rsid w:val="002D6FE5"/>
    <w:rsid w:val="002E682E"/>
    <w:rsid w:val="002E6C06"/>
    <w:rsid w:val="002F0388"/>
    <w:rsid w:val="002F0D70"/>
    <w:rsid w:val="002F127A"/>
    <w:rsid w:val="002F4EE2"/>
    <w:rsid w:val="002F7490"/>
    <w:rsid w:val="002F7E97"/>
    <w:rsid w:val="00300559"/>
    <w:rsid w:val="00304E2E"/>
    <w:rsid w:val="00305C7C"/>
    <w:rsid w:val="00310D8B"/>
    <w:rsid w:val="00310E8E"/>
    <w:rsid w:val="00313984"/>
    <w:rsid w:val="0032299A"/>
    <w:rsid w:val="00330BB7"/>
    <w:rsid w:val="003319C9"/>
    <w:rsid w:val="00332984"/>
    <w:rsid w:val="003343C4"/>
    <w:rsid w:val="00336B70"/>
    <w:rsid w:val="00344071"/>
    <w:rsid w:val="00344E9C"/>
    <w:rsid w:val="003575D2"/>
    <w:rsid w:val="00361C24"/>
    <w:rsid w:val="00376484"/>
    <w:rsid w:val="003837C6"/>
    <w:rsid w:val="00384002"/>
    <w:rsid w:val="003868F6"/>
    <w:rsid w:val="00387D77"/>
    <w:rsid w:val="00394C47"/>
    <w:rsid w:val="0039787B"/>
    <w:rsid w:val="00397D5C"/>
    <w:rsid w:val="003A12E2"/>
    <w:rsid w:val="003B6557"/>
    <w:rsid w:val="003B7029"/>
    <w:rsid w:val="003C57A6"/>
    <w:rsid w:val="003C6507"/>
    <w:rsid w:val="003C6C6D"/>
    <w:rsid w:val="003D2AA3"/>
    <w:rsid w:val="003D4546"/>
    <w:rsid w:val="003D6749"/>
    <w:rsid w:val="003E1851"/>
    <w:rsid w:val="003E1A83"/>
    <w:rsid w:val="003F1833"/>
    <w:rsid w:val="003F2871"/>
    <w:rsid w:val="003F7B2F"/>
    <w:rsid w:val="0040205B"/>
    <w:rsid w:val="00405208"/>
    <w:rsid w:val="004118B1"/>
    <w:rsid w:val="00411B2A"/>
    <w:rsid w:val="00421BF7"/>
    <w:rsid w:val="00421D74"/>
    <w:rsid w:val="00425248"/>
    <w:rsid w:val="00427D4D"/>
    <w:rsid w:val="004306F4"/>
    <w:rsid w:val="00437A6C"/>
    <w:rsid w:val="00437C7F"/>
    <w:rsid w:val="00443B20"/>
    <w:rsid w:val="00450EF0"/>
    <w:rsid w:val="00452752"/>
    <w:rsid w:val="00466520"/>
    <w:rsid w:val="00477142"/>
    <w:rsid w:val="004818D8"/>
    <w:rsid w:val="0048675F"/>
    <w:rsid w:val="00491E1A"/>
    <w:rsid w:val="00493BAE"/>
    <w:rsid w:val="00494312"/>
    <w:rsid w:val="00496236"/>
    <w:rsid w:val="004A1586"/>
    <w:rsid w:val="004B034D"/>
    <w:rsid w:val="004B28C3"/>
    <w:rsid w:val="004B4997"/>
    <w:rsid w:val="004C3ABB"/>
    <w:rsid w:val="004D2F38"/>
    <w:rsid w:val="004D4272"/>
    <w:rsid w:val="004D7F37"/>
    <w:rsid w:val="004E222B"/>
    <w:rsid w:val="004E3D0D"/>
    <w:rsid w:val="004F29EB"/>
    <w:rsid w:val="004F327A"/>
    <w:rsid w:val="004F4D28"/>
    <w:rsid w:val="004F78BF"/>
    <w:rsid w:val="00503817"/>
    <w:rsid w:val="00510E38"/>
    <w:rsid w:val="005119F1"/>
    <w:rsid w:val="00511FF0"/>
    <w:rsid w:val="00512DA8"/>
    <w:rsid w:val="005145C6"/>
    <w:rsid w:val="00515236"/>
    <w:rsid w:val="00515F84"/>
    <w:rsid w:val="00517F8F"/>
    <w:rsid w:val="00524BDE"/>
    <w:rsid w:val="005366FE"/>
    <w:rsid w:val="0054022F"/>
    <w:rsid w:val="005568F1"/>
    <w:rsid w:val="0055732B"/>
    <w:rsid w:val="005635E1"/>
    <w:rsid w:val="00564572"/>
    <w:rsid w:val="00570AE4"/>
    <w:rsid w:val="005715B0"/>
    <w:rsid w:val="00572C51"/>
    <w:rsid w:val="0057386F"/>
    <w:rsid w:val="005769CF"/>
    <w:rsid w:val="005806EB"/>
    <w:rsid w:val="00580955"/>
    <w:rsid w:val="00581CD7"/>
    <w:rsid w:val="00584DCC"/>
    <w:rsid w:val="00587D6A"/>
    <w:rsid w:val="00596F2B"/>
    <w:rsid w:val="005A01C0"/>
    <w:rsid w:val="005A24F0"/>
    <w:rsid w:val="005C1EB0"/>
    <w:rsid w:val="005C62CE"/>
    <w:rsid w:val="005D1D69"/>
    <w:rsid w:val="005D31E6"/>
    <w:rsid w:val="005D746A"/>
    <w:rsid w:val="005E2629"/>
    <w:rsid w:val="005E6238"/>
    <w:rsid w:val="005F0A78"/>
    <w:rsid w:val="00600725"/>
    <w:rsid w:val="00602D58"/>
    <w:rsid w:val="00607A1B"/>
    <w:rsid w:val="00614E1F"/>
    <w:rsid w:val="00642AD7"/>
    <w:rsid w:val="0064423B"/>
    <w:rsid w:val="00655042"/>
    <w:rsid w:val="00664E99"/>
    <w:rsid w:val="00670387"/>
    <w:rsid w:val="0067659D"/>
    <w:rsid w:val="006767F6"/>
    <w:rsid w:val="00676B18"/>
    <w:rsid w:val="006802DC"/>
    <w:rsid w:val="006815E5"/>
    <w:rsid w:val="00683982"/>
    <w:rsid w:val="00685F3F"/>
    <w:rsid w:val="00685FD0"/>
    <w:rsid w:val="00686E10"/>
    <w:rsid w:val="006957DD"/>
    <w:rsid w:val="006A3A11"/>
    <w:rsid w:val="006B7ACD"/>
    <w:rsid w:val="006B7BD0"/>
    <w:rsid w:val="006D27CE"/>
    <w:rsid w:val="006D330D"/>
    <w:rsid w:val="006D7FBD"/>
    <w:rsid w:val="006E0E91"/>
    <w:rsid w:val="006E2EE3"/>
    <w:rsid w:val="006E64F6"/>
    <w:rsid w:val="006E6777"/>
    <w:rsid w:val="00703893"/>
    <w:rsid w:val="00713644"/>
    <w:rsid w:val="00713AE3"/>
    <w:rsid w:val="0071706C"/>
    <w:rsid w:val="00721995"/>
    <w:rsid w:val="0072312E"/>
    <w:rsid w:val="00733F94"/>
    <w:rsid w:val="0073587D"/>
    <w:rsid w:val="0073590C"/>
    <w:rsid w:val="00741889"/>
    <w:rsid w:val="007442EA"/>
    <w:rsid w:val="00746E2F"/>
    <w:rsid w:val="00747BC9"/>
    <w:rsid w:val="00755828"/>
    <w:rsid w:val="00764ABE"/>
    <w:rsid w:val="007728A4"/>
    <w:rsid w:val="00774305"/>
    <w:rsid w:val="00780833"/>
    <w:rsid w:val="00784EFB"/>
    <w:rsid w:val="007919A5"/>
    <w:rsid w:val="00792A6A"/>
    <w:rsid w:val="007A35C8"/>
    <w:rsid w:val="007B0A8F"/>
    <w:rsid w:val="007B2FCC"/>
    <w:rsid w:val="007B3CF8"/>
    <w:rsid w:val="007B4F38"/>
    <w:rsid w:val="007B60ED"/>
    <w:rsid w:val="007D5DC1"/>
    <w:rsid w:val="007D5FE2"/>
    <w:rsid w:val="007E168C"/>
    <w:rsid w:val="007E1F8B"/>
    <w:rsid w:val="007E34A2"/>
    <w:rsid w:val="007F3D36"/>
    <w:rsid w:val="007F5654"/>
    <w:rsid w:val="007F5E6D"/>
    <w:rsid w:val="00804B8D"/>
    <w:rsid w:val="00810A81"/>
    <w:rsid w:val="00816796"/>
    <w:rsid w:val="00816B4E"/>
    <w:rsid w:val="00822A99"/>
    <w:rsid w:val="0083005A"/>
    <w:rsid w:val="00831236"/>
    <w:rsid w:val="00833D2B"/>
    <w:rsid w:val="00834522"/>
    <w:rsid w:val="00836522"/>
    <w:rsid w:val="00837657"/>
    <w:rsid w:val="00845F09"/>
    <w:rsid w:val="00847050"/>
    <w:rsid w:val="00854914"/>
    <w:rsid w:val="00855082"/>
    <w:rsid w:val="00866840"/>
    <w:rsid w:val="008704A6"/>
    <w:rsid w:val="00870950"/>
    <w:rsid w:val="00870B5F"/>
    <w:rsid w:val="0087181E"/>
    <w:rsid w:val="0087320F"/>
    <w:rsid w:val="008735DB"/>
    <w:rsid w:val="00881A9A"/>
    <w:rsid w:val="008872E0"/>
    <w:rsid w:val="0089707C"/>
    <w:rsid w:val="008A1F1F"/>
    <w:rsid w:val="008A424E"/>
    <w:rsid w:val="008A60B1"/>
    <w:rsid w:val="008B366A"/>
    <w:rsid w:val="008C6D64"/>
    <w:rsid w:val="008D51AF"/>
    <w:rsid w:val="008E0BDC"/>
    <w:rsid w:val="0090214E"/>
    <w:rsid w:val="0090310B"/>
    <w:rsid w:val="00905F79"/>
    <w:rsid w:val="0090626E"/>
    <w:rsid w:val="0090680C"/>
    <w:rsid w:val="0091138F"/>
    <w:rsid w:val="009126C7"/>
    <w:rsid w:val="009167D8"/>
    <w:rsid w:val="00916D4B"/>
    <w:rsid w:val="009203FA"/>
    <w:rsid w:val="00924085"/>
    <w:rsid w:val="00933AC3"/>
    <w:rsid w:val="009345F8"/>
    <w:rsid w:val="0094132B"/>
    <w:rsid w:val="00941EFB"/>
    <w:rsid w:val="009437AD"/>
    <w:rsid w:val="009441E1"/>
    <w:rsid w:val="00944778"/>
    <w:rsid w:val="0095058F"/>
    <w:rsid w:val="00953E59"/>
    <w:rsid w:val="009566A4"/>
    <w:rsid w:val="00956941"/>
    <w:rsid w:val="00966487"/>
    <w:rsid w:val="00966E4D"/>
    <w:rsid w:val="00970875"/>
    <w:rsid w:val="009847C5"/>
    <w:rsid w:val="009905B4"/>
    <w:rsid w:val="009975B8"/>
    <w:rsid w:val="009A61F0"/>
    <w:rsid w:val="009A7B3C"/>
    <w:rsid w:val="009B5CF1"/>
    <w:rsid w:val="009B5FA9"/>
    <w:rsid w:val="009B7BFF"/>
    <w:rsid w:val="009C29ED"/>
    <w:rsid w:val="009D21FF"/>
    <w:rsid w:val="009D27F2"/>
    <w:rsid w:val="009E0F2C"/>
    <w:rsid w:val="009F0B56"/>
    <w:rsid w:val="009F1CAC"/>
    <w:rsid w:val="009F5254"/>
    <w:rsid w:val="00A0293B"/>
    <w:rsid w:val="00A030EC"/>
    <w:rsid w:val="00A0332D"/>
    <w:rsid w:val="00A103BF"/>
    <w:rsid w:val="00A10CB0"/>
    <w:rsid w:val="00A20FF3"/>
    <w:rsid w:val="00A22692"/>
    <w:rsid w:val="00A27500"/>
    <w:rsid w:val="00A3393A"/>
    <w:rsid w:val="00A33FFD"/>
    <w:rsid w:val="00A40BFE"/>
    <w:rsid w:val="00A41AF0"/>
    <w:rsid w:val="00A44CED"/>
    <w:rsid w:val="00A46ADB"/>
    <w:rsid w:val="00A504DA"/>
    <w:rsid w:val="00A56BC1"/>
    <w:rsid w:val="00A611E2"/>
    <w:rsid w:val="00A61E27"/>
    <w:rsid w:val="00A648F1"/>
    <w:rsid w:val="00A64EF4"/>
    <w:rsid w:val="00A720E4"/>
    <w:rsid w:val="00A77335"/>
    <w:rsid w:val="00A85BAE"/>
    <w:rsid w:val="00A87392"/>
    <w:rsid w:val="00A87757"/>
    <w:rsid w:val="00A971E1"/>
    <w:rsid w:val="00AA5305"/>
    <w:rsid w:val="00AB478E"/>
    <w:rsid w:val="00AC594A"/>
    <w:rsid w:val="00AC6D6D"/>
    <w:rsid w:val="00AD5534"/>
    <w:rsid w:val="00AD5807"/>
    <w:rsid w:val="00AD5E30"/>
    <w:rsid w:val="00AE658E"/>
    <w:rsid w:val="00AE758E"/>
    <w:rsid w:val="00B000E2"/>
    <w:rsid w:val="00B0249B"/>
    <w:rsid w:val="00B02BA0"/>
    <w:rsid w:val="00B02D13"/>
    <w:rsid w:val="00B03B9E"/>
    <w:rsid w:val="00B1014C"/>
    <w:rsid w:val="00B242E6"/>
    <w:rsid w:val="00B24526"/>
    <w:rsid w:val="00B273D4"/>
    <w:rsid w:val="00B3030C"/>
    <w:rsid w:val="00B3289E"/>
    <w:rsid w:val="00B34147"/>
    <w:rsid w:val="00B341CF"/>
    <w:rsid w:val="00B40177"/>
    <w:rsid w:val="00B5391C"/>
    <w:rsid w:val="00B54ED4"/>
    <w:rsid w:val="00B623ED"/>
    <w:rsid w:val="00B70D82"/>
    <w:rsid w:val="00B81E74"/>
    <w:rsid w:val="00B85714"/>
    <w:rsid w:val="00B85C01"/>
    <w:rsid w:val="00B96BCA"/>
    <w:rsid w:val="00B97E3A"/>
    <w:rsid w:val="00BA68D0"/>
    <w:rsid w:val="00BC06B9"/>
    <w:rsid w:val="00BC2D4A"/>
    <w:rsid w:val="00BC40C4"/>
    <w:rsid w:val="00BD1093"/>
    <w:rsid w:val="00BD4419"/>
    <w:rsid w:val="00BE1F6E"/>
    <w:rsid w:val="00BE37B4"/>
    <w:rsid w:val="00BE700B"/>
    <w:rsid w:val="00C03A84"/>
    <w:rsid w:val="00C063E3"/>
    <w:rsid w:val="00C07339"/>
    <w:rsid w:val="00C146E6"/>
    <w:rsid w:val="00C221FC"/>
    <w:rsid w:val="00C2358C"/>
    <w:rsid w:val="00C243E3"/>
    <w:rsid w:val="00C3078C"/>
    <w:rsid w:val="00C34D94"/>
    <w:rsid w:val="00C34F88"/>
    <w:rsid w:val="00C41209"/>
    <w:rsid w:val="00C425F2"/>
    <w:rsid w:val="00C625A8"/>
    <w:rsid w:val="00C6319F"/>
    <w:rsid w:val="00C63279"/>
    <w:rsid w:val="00C7274D"/>
    <w:rsid w:val="00C757CF"/>
    <w:rsid w:val="00C82723"/>
    <w:rsid w:val="00C845C4"/>
    <w:rsid w:val="00C90DBE"/>
    <w:rsid w:val="00C911DB"/>
    <w:rsid w:val="00CB0D51"/>
    <w:rsid w:val="00CB5347"/>
    <w:rsid w:val="00CB7614"/>
    <w:rsid w:val="00CC1487"/>
    <w:rsid w:val="00CD0692"/>
    <w:rsid w:val="00CD1805"/>
    <w:rsid w:val="00CD3DDE"/>
    <w:rsid w:val="00CD527D"/>
    <w:rsid w:val="00CD6C54"/>
    <w:rsid w:val="00CE0E2E"/>
    <w:rsid w:val="00CE0F9E"/>
    <w:rsid w:val="00CE3F27"/>
    <w:rsid w:val="00CE422B"/>
    <w:rsid w:val="00CE571F"/>
    <w:rsid w:val="00CE5D94"/>
    <w:rsid w:val="00CE79C2"/>
    <w:rsid w:val="00CF11B9"/>
    <w:rsid w:val="00D01786"/>
    <w:rsid w:val="00D03550"/>
    <w:rsid w:val="00D0760D"/>
    <w:rsid w:val="00D10D93"/>
    <w:rsid w:val="00D13A2D"/>
    <w:rsid w:val="00D17F74"/>
    <w:rsid w:val="00D2786E"/>
    <w:rsid w:val="00D303FF"/>
    <w:rsid w:val="00D3296C"/>
    <w:rsid w:val="00D34913"/>
    <w:rsid w:val="00D52E83"/>
    <w:rsid w:val="00D52F98"/>
    <w:rsid w:val="00D5745E"/>
    <w:rsid w:val="00D64FC2"/>
    <w:rsid w:val="00D65786"/>
    <w:rsid w:val="00D823EB"/>
    <w:rsid w:val="00D82CA9"/>
    <w:rsid w:val="00D87E34"/>
    <w:rsid w:val="00D90C2C"/>
    <w:rsid w:val="00DA0581"/>
    <w:rsid w:val="00DA059D"/>
    <w:rsid w:val="00DA2B1E"/>
    <w:rsid w:val="00DB1161"/>
    <w:rsid w:val="00DB1711"/>
    <w:rsid w:val="00DB1C6C"/>
    <w:rsid w:val="00DB29ED"/>
    <w:rsid w:val="00DB2DB2"/>
    <w:rsid w:val="00DB4AE6"/>
    <w:rsid w:val="00DC0AEC"/>
    <w:rsid w:val="00DC0F29"/>
    <w:rsid w:val="00DC430F"/>
    <w:rsid w:val="00DC69EB"/>
    <w:rsid w:val="00DD7D1B"/>
    <w:rsid w:val="00DE0623"/>
    <w:rsid w:val="00DE20CB"/>
    <w:rsid w:val="00DE380F"/>
    <w:rsid w:val="00DE3D12"/>
    <w:rsid w:val="00DE408B"/>
    <w:rsid w:val="00DF3437"/>
    <w:rsid w:val="00DF4ED1"/>
    <w:rsid w:val="00E001E8"/>
    <w:rsid w:val="00E00232"/>
    <w:rsid w:val="00E00B6C"/>
    <w:rsid w:val="00E04B24"/>
    <w:rsid w:val="00E169F5"/>
    <w:rsid w:val="00E16E76"/>
    <w:rsid w:val="00E25349"/>
    <w:rsid w:val="00E31247"/>
    <w:rsid w:val="00E334D7"/>
    <w:rsid w:val="00E362D5"/>
    <w:rsid w:val="00E43F9B"/>
    <w:rsid w:val="00E504F8"/>
    <w:rsid w:val="00E51CE4"/>
    <w:rsid w:val="00E54AC0"/>
    <w:rsid w:val="00E70B97"/>
    <w:rsid w:val="00E74F80"/>
    <w:rsid w:val="00E80030"/>
    <w:rsid w:val="00E858FE"/>
    <w:rsid w:val="00E8599D"/>
    <w:rsid w:val="00E93288"/>
    <w:rsid w:val="00E93421"/>
    <w:rsid w:val="00E950CE"/>
    <w:rsid w:val="00EA3276"/>
    <w:rsid w:val="00EA4CFB"/>
    <w:rsid w:val="00EB06A0"/>
    <w:rsid w:val="00EC0DFB"/>
    <w:rsid w:val="00EC22A5"/>
    <w:rsid w:val="00EC2FDA"/>
    <w:rsid w:val="00ED29A6"/>
    <w:rsid w:val="00ED5A71"/>
    <w:rsid w:val="00ED6766"/>
    <w:rsid w:val="00EE6927"/>
    <w:rsid w:val="00EF0623"/>
    <w:rsid w:val="00EF2798"/>
    <w:rsid w:val="00EF27AE"/>
    <w:rsid w:val="00EF3E1C"/>
    <w:rsid w:val="00EF4130"/>
    <w:rsid w:val="00EF71CA"/>
    <w:rsid w:val="00F00072"/>
    <w:rsid w:val="00F036AF"/>
    <w:rsid w:val="00F03E1F"/>
    <w:rsid w:val="00F1063B"/>
    <w:rsid w:val="00F13285"/>
    <w:rsid w:val="00F17686"/>
    <w:rsid w:val="00F21B64"/>
    <w:rsid w:val="00F24CA6"/>
    <w:rsid w:val="00F26DCF"/>
    <w:rsid w:val="00F319D1"/>
    <w:rsid w:val="00F33208"/>
    <w:rsid w:val="00F368D3"/>
    <w:rsid w:val="00F40EAC"/>
    <w:rsid w:val="00F451E4"/>
    <w:rsid w:val="00F45E95"/>
    <w:rsid w:val="00F50EE1"/>
    <w:rsid w:val="00F55CD4"/>
    <w:rsid w:val="00F60349"/>
    <w:rsid w:val="00F60550"/>
    <w:rsid w:val="00F751CF"/>
    <w:rsid w:val="00F81B7B"/>
    <w:rsid w:val="00F82EC1"/>
    <w:rsid w:val="00F842D8"/>
    <w:rsid w:val="00F84808"/>
    <w:rsid w:val="00F90816"/>
    <w:rsid w:val="00F92DFC"/>
    <w:rsid w:val="00F93629"/>
    <w:rsid w:val="00F9365D"/>
    <w:rsid w:val="00F942ED"/>
    <w:rsid w:val="00F954EB"/>
    <w:rsid w:val="00F95538"/>
    <w:rsid w:val="00FA0194"/>
    <w:rsid w:val="00FB0BF8"/>
    <w:rsid w:val="00FB2A1C"/>
    <w:rsid w:val="00FB2FF9"/>
    <w:rsid w:val="00FB3EF6"/>
    <w:rsid w:val="00FB4678"/>
    <w:rsid w:val="00FB593A"/>
    <w:rsid w:val="00FC5EE5"/>
    <w:rsid w:val="00FD3117"/>
    <w:rsid w:val="00FE7007"/>
    <w:rsid w:val="00FE72EA"/>
    <w:rsid w:val="00FF14B2"/>
    <w:rsid w:val="00FF1B3B"/>
    <w:rsid w:val="00FF59F9"/>
    <w:rsid w:val="00FF5B5D"/>
    <w:rsid w:val="00FF69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2DC62"/>
  <w15:chartTrackingRefBased/>
  <w15:docId w15:val="{936469FA-34F1-455B-844B-55FFAFCB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574C9"/>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1574C9"/>
    <w:rPr>
      <w:rFonts w:ascii="Times New Roman" w:hAnsi="Times New Roman" w:cs="Times New Roman"/>
      <w:noProof/>
    </w:rPr>
  </w:style>
  <w:style w:type="paragraph" w:customStyle="1" w:styleId="EndNoteBibliography">
    <w:name w:val="EndNote Bibliography"/>
    <w:basedOn w:val="Normal"/>
    <w:link w:val="EndNoteBibliographyChar"/>
    <w:rsid w:val="001574C9"/>
    <w:pPr>
      <w:spacing w:line="240" w:lineRule="auto"/>
      <w:jc w:val="both"/>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1574C9"/>
    <w:rPr>
      <w:rFonts w:ascii="Times New Roman" w:hAnsi="Times New Roman" w:cs="Times New Roman"/>
      <w:noProof/>
    </w:rPr>
  </w:style>
  <w:style w:type="paragraph" w:styleId="BalloonText">
    <w:name w:val="Balloon Text"/>
    <w:basedOn w:val="Normal"/>
    <w:link w:val="BalloonTextChar"/>
    <w:uiPriority w:val="99"/>
    <w:semiHidden/>
    <w:unhideWhenUsed/>
    <w:rsid w:val="00717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06C"/>
    <w:rPr>
      <w:rFonts w:ascii="Segoe UI" w:hAnsi="Segoe UI" w:cs="Segoe UI"/>
      <w:sz w:val="18"/>
      <w:szCs w:val="18"/>
    </w:rPr>
  </w:style>
  <w:style w:type="paragraph" w:styleId="ListParagraph">
    <w:name w:val="List Paragraph"/>
    <w:basedOn w:val="Normal"/>
    <w:uiPriority w:val="34"/>
    <w:qFormat/>
    <w:rsid w:val="000E05F5"/>
    <w:pPr>
      <w:ind w:left="720"/>
      <w:contextualSpacing/>
    </w:pPr>
  </w:style>
  <w:style w:type="paragraph" w:customStyle="1" w:styleId="whitespace-normal">
    <w:name w:val="whitespace-normal"/>
    <w:basedOn w:val="Normal"/>
    <w:rsid w:val="007E34A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E0F9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E0F9E"/>
    <w:pPr>
      <w:spacing w:after="200" w:line="240" w:lineRule="auto"/>
    </w:pPr>
    <w:rPr>
      <w:i/>
      <w:iCs/>
      <w:color w:val="44546A" w:themeColor="text2"/>
      <w:kern w:val="2"/>
      <w:sz w:val="18"/>
      <w:szCs w:val="18"/>
      <w14:ligatures w14:val="standardContextual"/>
    </w:rPr>
  </w:style>
  <w:style w:type="paragraph" w:styleId="Revision">
    <w:name w:val="Revision"/>
    <w:hidden/>
    <w:uiPriority w:val="99"/>
    <w:semiHidden/>
    <w:rsid w:val="000A5B87"/>
    <w:pPr>
      <w:spacing w:after="0" w:line="240" w:lineRule="auto"/>
    </w:pPr>
  </w:style>
  <w:style w:type="character" w:styleId="CommentReference">
    <w:name w:val="annotation reference"/>
    <w:basedOn w:val="DefaultParagraphFont"/>
    <w:uiPriority w:val="99"/>
    <w:semiHidden/>
    <w:unhideWhenUsed/>
    <w:rsid w:val="002F7490"/>
    <w:rPr>
      <w:sz w:val="16"/>
      <w:szCs w:val="16"/>
    </w:rPr>
  </w:style>
  <w:style w:type="paragraph" w:styleId="CommentText">
    <w:name w:val="annotation text"/>
    <w:basedOn w:val="Normal"/>
    <w:link w:val="CommentTextChar"/>
    <w:uiPriority w:val="99"/>
    <w:unhideWhenUsed/>
    <w:rsid w:val="002F7490"/>
    <w:pPr>
      <w:spacing w:line="240" w:lineRule="auto"/>
    </w:pPr>
    <w:rPr>
      <w:sz w:val="20"/>
      <w:szCs w:val="20"/>
    </w:rPr>
  </w:style>
  <w:style w:type="character" w:customStyle="1" w:styleId="CommentTextChar">
    <w:name w:val="Comment Text Char"/>
    <w:basedOn w:val="DefaultParagraphFont"/>
    <w:link w:val="CommentText"/>
    <w:uiPriority w:val="99"/>
    <w:rsid w:val="002F7490"/>
    <w:rPr>
      <w:sz w:val="20"/>
      <w:szCs w:val="20"/>
    </w:rPr>
  </w:style>
  <w:style w:type="paragraph" w:styleId="CommentSubject">
    <w:name w:val="annotation subject"/>
    <w:basedOn w:val="CommentText"/>
    <w:next w:val="CommentText"/>
    <w:link w:val="CommentSubjectChar"/>
    <w:uiPriority w:val="99"/>
    <w:semiHidden/>
    <w:unhideWhenUsed/>
    <w:rsid w:val="002F7490"/>
    <w:rPr>
      <w:b/>
      <w:bCs/>
    </w:rPr>
  </w:style>
  <w:style w:type="character" w:customStyle="1" w:styleId="CommentSubjectChar">
    <w:name w:val="Comment Subject Char"/>
    <w:basedOn w:val="CommentTextChar"/>
    <w:link w:val="CommentSubject"/>
    <w:uiPriority w:val="99"/>
    <w:semiHidden/>
    <w:rsid w:val="002F7490"/>
    <w:rPr>
      <w:b/>
      <w:bCs/>
      <w:sz w:val="20"/>
      <w:szCs w:val="20"/>
    </w:rPr>
  </w:style>
  <w:style w:type="paragraph" w:styleId="Header">
    <w:name w:val="header"/>
    <w:basedOn w:val="Normal"/>
    <w:link w:val="HeaderChar"/>
    <w:uiPriority w:val="99"/>
    <w:unhideWhenUsed/>
    <w:rsid w:val="00944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778"/>
  </w:style>
  <w:style w:type="paragraph" w:styleId="Footer">
    <w:name w:val="footer"/>
    <w:basedOn w:val="Normal"/>
    <w:link w:val="FooterChar"/>
    <w:uiPriority w:val="99"/>
    <w:unhideWhenUsed/>
    <w:rsid w:val="00944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778"/>
  </w:style>
  <w:style w:type="table" w:styleId="TableGridLight">
    <w:name w:val="Grid Table Light"/>
    <w:basedOn w:val="TableNormal"/>
    <w:uiPriority w:val="40"/>
    <w:rsid w:val="003329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4818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18D8"/>
    <w:rPr>
      <w:b/>
      <w:bCs/>
    </w:rPr>
  </w:style>
  <w:style w:type="character" w:styleId="LineNumber">
    <w:name w:val="line number"/>
    <w:basedOn w:val="DefaultParagraphFont"/>
    <w:uiPriority w:val="99"/>
    <w:semiHidden/>
    <w:unhideWhenUsed/>
    <w:rsid w:val="00CE5D94"/>
  </w:style>
  <w:style w:type="character" w:customStyle="1" w:styleId="jlqj4b">
    <w:name w:val="jlqj4b"/>
    <w:basedOn w:val="DefaultParagraphFont"/>
    <w:rsid w:val="00FF14B2"/>
  </w:style>
  <w:style w:type="character" w:customStyle="1" w:styleId="tlid-translation">
    <w:name w:val="tlid-translation"/>
    <w:basedOn w:val="DefaultParagraphFont"/>
    <w:rsid w:val="00FF14B2"/>
  </w:style>
  <w:style w:type="character" w:styleId="Hyperlink">
    <w:name w:val="Hyperlink"/>
    <w:basedOn w:val="DefaultParagraphFont"/>
    <w:uiPriority w:val="99"/>
    <w:unhideWhenUsed/>
    <w:rsid w:val="003E1851"/>
    <w:rPr>
      <w:color w:val="0563C1" w:themeColor="hyperlink"/>
      <w:u w:val="single"/>
    </w:rPr>
  </w:style>
  <w:style w:type="character" w:styleId="Emphasis">
    <w:name w:val="Emphasis"/>
    <w:basedOn w:val="DefaultParagraphFont"/>
    <w:uiPriority w:val="20"/>
    <w:qFormat/>
    <w:rsid w:val="008A1F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7045">
      <w:bodyDiv w:val="1"/>
      <w:marLeft w:val="0"/>
      <w:marRight w:val="0"/>
      <w:marTop w:val="0"/>
      <w:marBottom w:val="0"/>
      <w:divBdr>
        <w:top w:val="none" w:sz="0" w:space="0" w:color="auto"/>
        <w:left w:val="none" w:sz="0" w:space="0" w:color="auto"/>
        <w:bottom w:val="none" w:sz="0" w:space="0" w:color="auto"/>
        <w:right w:val="none" w:sz="0" w:space="0" w:color="auto"/>
      </w:divBdr>
    </w:div>
    <w:div w:id="55930971">
      <w:bodyDiv w:val="1"/>
      <w:marLeft w:val="0"/>
      <w:marRight w:val="0"/>
      <w:marTop w:val="0"/>
      <w:marBottom w:val="0"/>
      <w:divBdr>
        <w:top w:val="none" w:sz="0" w:space="0" w:color="auto"/>
        <w:left w:val="none" w:sz="0" w:space="0" w:color="auto"/>
        <w:bottom w:val="none" w:sz="0" w:space="0" w:color="auto"/>
        <w:right w:val="none" w:sz="0" w:space="0" w:color="auto"/>
      </w:divBdr>
    </w:div>
    <w:div w:id="70087100">
      <w:bodyDiv w:val="1"/>
      <w:marLeft w:val="0"/>
      <w:marRight w:val="0"/>
      <w:marTop w:val="0"/>
      <w:marBottom w:val="0"/>
      <w:divBdr>
        <w:top w:val="none" w:sz="0" w:space="0" w:color="auto"/>
        <w:left w:val="none" w:sz="0" w:space="0" w:color="auto"/>
        <w:bottom w:val="none" w:sz="0" w:space="0" w:color="auto"/>
        <w:right w:val="none" w:sz="0" w:space="0" w:color="auto"/>
      </w:divBdr>
    </w:div>
    <w:div w:id="92407580">
      <w:bodyDiv w:val="1"/>
      <w:marLeft w:val="0"/>
      <w:marRight w:val="0"/>
      <w:marTop w:val="0"/>
      <w:marBottom w:val="0"/>
      <w:divBdr>
        <w:top w:val="none" w:sz="0" w:space="0" w:color="auto"/>
        <w:left w:val="none" w:sz="0" w:space="0" w:color="auto"/>
        <w:bottom w:val="none" w:sz="0" w:space="0" w:color="auto"/>
        <w:right w:val="none" w:sz="0" w:space="0" w:color="auto"/>
      </w:divBdr>
      <w:divsChild>
        <w:div w:id="467668743">
          <w:blockQuote w:val="1"/>
          <w:marLeft w:val="720"/>
          <w:marRight w:val="720"/>
          <w:marTop w:val="100"/>
          <w:marBottom w:val="100"/>
          <w:divBdr>
            <w:top w:val="none" w:sz="0" w:space="0" w:color="auto"/>
            <w:left w:val="none" w:sz="0" w:space="0" w:color="auto"/>
            <w:bottom w:val="none" w:sz="0" w:space="0" w:color="auto"/>
            <w:right w:val="none" w:sz="0" w:space="0" w:color="auto"/>
          </w:divBdr>
        </w:div>
        <w:div w:id="73937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21076">
      <w:bodyDiv w:val="1"/>
      <w:marLeft w:val="0"/>
      <w:marRight w:val="0"/>
      <w:marTop w:val="0"/>
      <w:marBottom w:val="0"/>
      <w:divBdr>
        <w:top w:val="none" w:sz="0" w:space="0" w:color="auto"/>
        <w:left w:val="none" w:sz="0" w:space="0" w:color="auto"/>
        <w:bottom w:val="none" w:sz="0" w:space="0" w:color="auto"/>
        <w:right w:val="none" w:sz="0" w:space="0" w:color="auto"/>
      </w:divBdr>
    </w:div>
    <w:div w:id="140467839">
      <w:bodyDiv w:val="1"/>
      <w:marLeft w:val="0"/>
      <w:marRight w:val="0"/>
      <w:marTop w:val="0"/>
      <w:marBottom w:val="0"/>
      <w:divBdr>
        <w:top w:val="none" w:sz="0" w:space="0" w:color="auto"/>
        <w:left w:val="none" w:sz="0" w:space="0" w:color="auto"/>
        <w:bottom w:val="none" w:sz="0" w:space="0" w:color="auto"/>
        <w:right w:val="none" w:sz="0" w:space="0" w:color="auto"/>
      </w:divBdr>
    </w:div>
    <w:div w:id="152918824">
      <w:bodyDiv w:val="1"/>
      <w:marLeft w:val="0"/>
      <w:marRight w:val="0"/>
      <w:marTop w:val="0"/>
      <w:marBottom w:val="0"/>
      <w:divBdr>
        <w:top w:val="none" w:sz="0" w:space="0" w:color="auto"/>
        <w:left w:val="none" w:sz="0" w:space="0" w:color="auto"/>
        <w:bottom w:val="none" w:sz="0" w:space="0" w:color="auto"/>
        <w:right w:val="none" w:sz="0" w:space="0" w:color="auto"/>
      </w:divBdr>
    </w:div>
    <w:div w:id="173695272">
      <w:bodyDiv w:val="1"/>
      <w:marLeft w:val="0"/>
      <w:marRight w:val="0"/>
      <w:marTop w:val="0"/>
      <w:marBottom w:val="0"/>
      <w:divBdr>
        <w:top w:val="none" w:sz="0" w:space="0" w:color="auto"/>
        <w:left w:val="none" w:sz="0" w:space="0" w:color="auto"/>
        <w:bottom w:val="none" w:sz="0" w:space="0" w:color="auto"/>
        <w:right w:val="none" w:sz="0" w:space="0" w:color="auto"/>
      </w:divBdr>
    </w:div>
    <w:div w:id="205265356">
      <w:bodyDiv w:val="1"/>
      <w:marLeft w:val="0"/>
      <w:marRight w:val="0"/>
      <w:marTop w:val="0"/>
      <w:marBottom w:val="0"/>
      <w:divBdr>
        <w:top w:val="none" w:sz="0" w:space="0" w:color="auto"/>
        <w:left w:val="none" w:sz="0" w:space="0" w:color="auto"/>
        <w:bottom w:val="none" w:sz="0" w:space="0" w:color="auto"/>
        <w:right w:val="none" w:sz="0" w:space="0" w:color="auto"/>
      </w:divBdr>
    </w:div>
    <w:div w:id="227227452">
      <w:bodyDiv w:val="1"/>
      <w:marLeft w:val="0"/>
      <w:marRight w:val="0"/>
      <w:marTop w:val="0"/>
      <w:marBottom w:val="0"/>
      <w:divBdr>
        <w:top w:val="none" w:sz="0" w:space="0" w:color="auto"/>
        <w:left w:val="none" w:sz="0" w:space="0" w:color="auto"/>
        <w:bottom w:val="none" w:sz="0" w:space="0" w:color="auto"/>
        <w:right w:val="none" w:sz="0" w:space="0" w:color="auto"/>
      </w:divBdr>
    </w:div>
    <w:div w:id="239407545">
      <w:bodyDiv w:val="1"/>
      <w:marLeft w:val="0"/>
      <w:marRight w:val="0"/>
      <w:marTop w:val="0"/>
      <w:marBottom w:val="0"/>
      <w:divBdr>
        <w:top w:val="none" w:sz="0" w:space="0" w:color="auto"/>
        <w:left w:val="none" w:sz="0" w:space="0" w:color="auto"/>
        <w:bottom w:val="none" w:sz="0" w:space="0" w:color="auto"/>
        <w:right w:val="none" w:sz="0" w:space="0" w:color="auto"/>
      </w:divBdr>
    </w:div>
    <w:div w:id="293676816">
      <w:bodyDiv w:val="1"/>
      <w:marLeft w:val="0"/>
      <w:marRight w:val="0"/>
      <w:marTop w:val="0"/>
      <w:marBottom w:val="0"/>
      <w:divBdr>
        <w:top w:val="none" w:sz="0" w:space="0" w:color="auto"/>
        <w:left w:val="none" w:sz="0" w:space="0" w:color="auto"/>
        <w:bottom w:val="none" w:sz="0" w:space="0" w:color="auto"/>
        <w:right w:val="none" w:sz="0" w:space="0" w:color="auto"/>
      </w:divBdr>
    </w:div>
    <w:div w:id="344332409">
      <w:bodyDiv w:val="1"/>
      <w:marLeft w:val="0"/>
      <w:marRight w:val="0"/>
      <w:marTop w:val="0"/>
      <w:marBottom w:val="0"/>
      <w:divBdr>
        <w:top w:val="none" w:sz="0" w:space="0" w:color="auto"/>
        <w:left w:val="none" w:sz="0" w:space="0" w:color="auto"/>
        <w:bottom w:val="none" w:sz="0" w:space="0" w:color="auto"/>
        <w:right w:val="none" w:sz="0" w:space="0" w:color="auto"/>
      </w:divBdr>
    </w:div>
    <w:div w:id="345984550">
      <w:bodyDiv w:val="1"/>
      <w:marLeft w:val="0"/>
      <w:marRight w:val="0"/>
      <w:marTop w:val="0"/>
      <w:marBottom w:val="0"/>
      <w:divBdr>
        <w:top w:val="none" w:sz="0" w:space="0" w:color="auto"/>
        <w:left w:val="none" w:sz="0" w:space="0" w:color="auto"/>
        <w:bottom w:val="none" w:sz="0" w:space="0" w:color="auto"/>
        <w:right w:val="none" w:sz="0" w:space="0" w:color="auto"/>
      </w:divBdr>
    </w:div>
    <w:div w:id="400906050">
      <w:bodyDiv w:val="1"/>
      <w:marLeft w:val="0"/>
      <w:marRight w:val="0"/>
      <w:marTop w:val="0"/>
      <w:marBottom w:val="0"/>
      <w:divBdr>
        <w:top w:val="none" w:sz="0" w:space="0" w:color="auto"/>
        <w:left w:val="none" w:sz="0" w:space="0" w:color="auto"/>
        <w:bottom w:val="none" w:sz="0" w:space="0" w:color="auto"/>
        <w:right w:val="none" w:sz="0" w:space="0" w:color="auto"/>
      </w:divBdr>
    </w:div>
    <w:div w:id="449980371">
      <w:bodyDiv w:val="1"/>
      <w:marLeft w:val="0"/>
      <w:marRight w:val="0"/>
      <w:marTop w:val="0"/>
      <w:marBottom w:val="0"/>
      <w:divBdr>
        <w:top w:val="none" w:sz="0" w:space="0" w:color="auto"/>
        <w:left w:val="none" w:sz="0" w:space="0" w:color="auto"/>
        <w:bottom w:val="none" w:sz="0" w:space="0" w:color="auto"/>
        <w:right w:val="none" w:sz="0" w:space="0" w:color="auto"/>
      </w:divBdr>
    </w:div>
    <w:div w:id="498736084">
      <w:bodyDiv w:val="1"/>
      <w:marLeft w:val="0"/>
      <w:marRight w:val="0"/>
      <w:marTop w:val="0"/>
      <w:marBottom w:val="0"/>
      <w:divBdr>
        <w:top w:val="none" w:sz="0" w:space="0" w:color="auto"/>
        <w:left w:val="none" w:sz="0" w:space="0" w:color="auto"/>
        <w:bottom w:val="none" w:sz="0" w:space="0" w:color="auto"/>
        <w:right w:val="none" w:sz="0" w:space="0" w:color="auto"/>
      </w:divBdr>
    </w:div>
    <w:div w:id="561870417">
      <w:bodyDiv w:val="1"/>
      <w:marLeft w:val="0"/>
      <w:marRight w:val="0"/>
      <w:marTop w:val="0"/>
      <w:marBottom w:val="0"/>
      <w:divBdr>
        <w:top w:val="none" w:sz="0" w:space="0" w:color="auto"/>
        <w:left w:val="none" w:sz="0" w:space="0" w:color="auto"/>
        <w:bottom w:val="none" w:sz="0" w:space="0" w:color="auto"/>
        <w:right w:val="none" w:sz="0" w:space="0" w:color="auto"/>
      </w:divBdr>
    </w:div>
    <w:div w:id="700210838">
      <w:bodyDiv w:val="1"/>
      <w:marLeft w:val="0"/>
      <w:marRight w:val="0"/>
      <w:marTop w:val="0"/>
      <w:marBottom w:val="0"/>
      <w:divBdr>
        <w:top w:val="none" w:sz="0" w:space="0" w:color="auto"/>
        <w:left w:val="none" w:sz="0" w:space="0" w:color="auto"/>
        <w:bottom w:val="none" w:sz="0" w:space="0" w:color="auto"/>
        <w:right w:val="none" w:sz="0" w:space="0" w:color="auto"/>
      </w:divBdr>
    </w:div>
    <w:div w:id="707220033">
      <w:bodyDiv w:val="1"/>
      <w:marLeft w:val="0"/>
      <w:marRight w:val="0"/>
      <w:marTop w:val="0"/>
      <w:marBottom w:val="0"/>
      <w:divBdr>
        <w:top w:val="none" w:sz="0" w:space="0" w:color="auto"/>
        <w:left w:val="none" w:sz="0" w:space="0" w:color="auto"/>
        <w:bottom w:val="none" w:sz="0" w:space="0" w:color="auto"/>
        <w:right w:val="none" w:sz="0" w:space="0" w:color="auto"/>
      </w:divBdr>
    </w:div>
    <w:div w:id="721444153">
      <w:bodyDiv w:val="1"/>
      <w:marLeft w:val="0"/>
      <w:marRight w:val="0"/>
      <w:marTop w:val="0"/>
      <w:marBottom w:val="0"/>
      <w:divBdr>
        <w:top w:val="none" w:sz="0" w:space="0" w:color="auto"/>
        <w:left w:val="none" w:sz="0" w:space="0" w:color="auto"/>
        <w:bottom w:val="none" w:sz="0" w:space="0" w:color="auto"/>
        <w:right w:val="none" w:sz="0" w:space="0" w:color="auto"/>
      </w:divBdr>
    </w:div>
    <w:div w:id="734164337">
      <w:bodyDiv w:val="1"/>
      <w:marLeft w:val="0"/>
      <w:marRight w:val="0"/>
      <w:marTop w:val="0"/>
      <w:marBottom w:val="0"/>
      <w:divBdr>
        <w:top w:val="none" w:sz="0" w:space="0" w:color="auto"/>
        <w:left w:val="none" w:sz="0" w:space="0" w:color="auto"/>
        <w:bottom w:val="none" w:sz="0" w:space="0" w:color="auto"/>
        <w:right w:val="none" w:sz="0" w:space="0" w:color="auto"/>
      </w:divBdr>
      <w:divsChild>
        <w:div w:id="1288390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986058">
      <w:bodyDiv w:val="1"/>
      <w:marLeft w:val="0"/>
      <w:marRight w:val="0"/>
      <w:marTop w:val="0"/>
      <w:marBottom w:val="0"/>
      <w:divBdr>
        <w:top w:val="none" w:sz="0" w:space="0" w:color="auto"/>
        <w:left w:val="none" w:sz="0" w:space="0" w:color="auto"/>
        <w:bottom w:val="none" w:sz="0" w:space="0" w:color="auto"/>
        <w:right w:val="none" w:sz="0" w:space="0" w:color="auto"/>
      </w:divBdr>
    </w:div>
    <w:div w:id="743144361">
      <w:bodyDiv w:val="1"/>
      <w:marLeft w:val="0"/>
      <w:marRight w:val="0"/>
      <w:marTop w:val="0"/>
      <w:marBottom w:val="0"/>
      <w:divBdr>
        <w:top w:val="none" w:sz="0" w:space="0" w:color="auto"/>
        <w:left w:val="none" w:sz="0" w:space="0" w:color="auto"/>
        <w:bottom w:val="none" w:sz="0" w:space="0" w:color="auto"/>
        <w:right w:val="none" w:sz="0" w:space="0" w:color="auto"/>
      </w:divBdr>
    </w:div>
    <w:div w:id="775558424">
      <w:bodyDiv w:val="1"/>
      <w:marLeft w:val="0"/>
      <w:marRight w:val="0"/>
      <w:marTop w:val="0"/>
      <w:marBottom w:val="0"/>
      <w:divBdr>
        <w:top w:val="none" w:sz="0" w:space="0" w:color="auto"/>
        <w:left w:val="none" w:sz="0" w:space="0" w:color="auto"/>
        <w:bottom w:val="none" w:sz="0" w:space="0" w:color="auto"/>
        <w:right w:val="none" w:sz="0" w:space="0" w:color="auto"/>
      </w:divBdr>
    </w:div>
    <w:div w:id="809902566">
      <w:bodyDiv w:val="1"/>
      <w:marLeft w:val="0"/>
      <w:marRight w:val="0"/>
      <w:marTop w:val="0"/>
      <w:marBottom w:val="0"/>
      <w:divBdr>
        <w:top w:val="none" w:sz="0" w:space="0" w:color="auto"/>
        <w:left w:val="none" w:sz="0" w:space="0" w:color="auto"/>
        <w:bottom w:val="none" w:sz="0" w:space="0" w:color="auto"/>
        <w:right w:val="none" w:sz="0" w:space="0" w:color="auto"/>
      </w:divBdr>
      <w:divsChild>
        <w:div w:id="970092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250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272916">
      <w:bodyDiv w:val="1"/>
      <w:marLeft w:val="0"/>
      <w:marRight w:val="0"/>
      <w:marTop w:val="0"/>
      <w:marBottom w:val="0"/>
      <w:divBdr>
        <w:top w:val="none" w:sz="0" w:space="0" w:color="auto"/>
        <w:left w:val="none" w:sz="0" w:space="0" w:color="auto"/>
        <w:bottom w:val="none" w:sz="0" w:space="0" w:color="auto"/>
        <w:right w:val="none" w:sz="0" w:space="0" w:color="auto"/>
      </w:divBdr>
    </w:div>
    <w:div w:id="1040714879">
      <w:bodyDiv w:val="1"/>
      <w:marLeft w:val="0"/>
      <w:marRight w:val="0"/>
      <w:marTop w:val="0"/>
      <w:marBottom w:val="0"/>
      <w:divBdr>
        <w:top w:val="none" w:sz="0" w:space="0" w:color="auto"/>
        <w:left w:val="none" w:sz="0" w:space="0" w:color="auto"/>
        <w:bottom w:val="none" w:sz="0" w:space="0" w:color="auto"/>
        <w:right w:val="none" w:sz="0" w:space="0" w:color="auto"/>
      </w:divBdr>
    </w:div>
    <w:div w:id="1056702910">
      <w:bodyDiv w:val="1"/>
      <w:marLeft w:val="0"/>
      <w:marRight w:val="0"/>
      <w:marTop w:val="0"/>
      <w:marBottom w:val="0"/>
      <w:divBdr>
        <w:top w:val="none" w:sz="0" w:space="0" w:color="auto"/>
        <w:left w:val="none" w:sz="0" w:space="0" w:color="auto"/>
        <w:bottom w:val="none" w:sz="0" w:space="0" w:color="auto"/>
        <w:right w:val="none" w:sz="0" w:space="0" w:color="auto"/>
      </w:divBdr>
    </w:div>
    <w:div w:id="1143810763">
      <w:bodyDiv w:val="1"/>
      <w:marLeft w:val="0"/>
      <w:marRight w:val="0"/>
      <w:marTop w:val="0"/>
      <w:marBottom w:val="0"/>
      <w:divBdr>
        <w:top w:val="none" w:sz="0" w:space="0" w:color="auto"/>
        <w:left w:val="none" w:sz="0" w:space="0" w:color="auto"/>
        <w:bottom w:val="none" w:sz="0" w:space="0" w:color="auto"/>
        <w:right w:val="none" w:sz="0" w:space="0" w:color="auto"/>
      </w:divBdr>
    </w:div>
    <w:div w:id="1165707957">
      <w:bodyDiv w:val="1"/>
      <w:marLeft w:val="0"/>
      <w:marRight w:val="0"/>
      <w:marTop w:val="0"/>
      <w:marBottom w:val="0"/>
      <w:divBdr>
        <w:top w:val="none" w:sz="0" w:space="0" w:color="auto"/>
        <w:left w:val="none" w:sz="0" w:space="0" w:color="auto"/>
        <w:bottom w:val="none" w:sz="0" w:space="0" w:color="auto"/>
        <w:right w:val="none" w:sz="0" w:space="0" w:color="auto"/>
      </w:divBdr>
    </w:div>
    <w:div w:id="1180313746">
      <w:bodyDiv w:val="1"/>
      <w:marLeft w:val="0"/>
      <w:marRight w:val="0"/>
      <w:marTop w:val="0"/>
      <w:marBottom w:val="0"/>
      <w:divBdr>
        <w:top w:val="none" w:sz="0" w:space="0" w:color="auto"/>
        <w:left w:val="none" w:sz="0" w:space="0" w:color="auto"/>
        <w:bottom w:val="none" w:sz="0" w:space="0" w:color="auto"/>
        <w:right w:val="none" w:sz="0" w:space="0" w:color="auto"/>
      </w:divBdr>
    </w:div>
    <w:div w:id="1266890301">
      <w:bodyDiv w:val="1"/>
      <w:marLeft w:val="0"/>
      <w:marRight w:val="0"/>
      <w:marTop w:val="0"/>
      <w:marBottom w:val="0"/>
      <w:divBdr>
        <w:top w:val="none" w:sz="0" w:space="0" w:color="auto"/>
        <w:left w:val="none" w:sz="0" w:space="0" w:color="auto"/>
        <w:bottom w:val="none" w:sz="0" w:space="0" w:color="auto"/>
        <w:right w:val="none" w:sz="0" w:space="0" w:color="auto"/>
      </w:divBdr>
    </w:div>
    <w:div w:id="1345400816">
      <w:bodyDiv w:val="1"/>
      <w:marLeft w:val="0"/>
      <w:marRight w:val="0"/>
      <w:marTop w:val="0"/>
      <w:marBottom w:val="0"/>
      <w:divBdr>
        <w:top w:val="none" w:sz="0" w:space="0" w:color="auto"/>
        <w:left w:val="none" w:sz="0" w:space="0" w:color="auto"/>
        <w:bottom w:val="none" w:sz="0" w:space="0" w:color="auto"/>
        <w:right w:val="none" w:sz="0" w:space="0" w:color="auto"/>
      </w:divBdr>
    </w:div>
    <w:div w:id="1382443189">
      <w:bodyDiv w:val="1"/>
      <w:marLeft w:val="0"/>
      <w:marRight w:val="0"/>
      <w:marTop w:val="0"/>
      <w:marBottom w:val="0"/>
      <w:divBdr>
        <w:top w:val="none" w:sz="0" w:space="0" w:color="auto"/>
        <w:left w:val="none" w:sz="0" w:space="0" w:color="auto"/>
        <w:bottom w:val="none" w:sz="0" w:space="0" w:color="auto"/>
        <w:right w:val="none" w:sz="0" w:space="0" w:color="auto"/>
      </w:divBdr>
    </w:div>
    <w:div w:id="1429472377">
      <w:bodyDiv w:val="1"/>
      <w:marLeft w:val="0"/>
      <w:marRight w:val="0"/>
      <w:marTop w:val="0"/>
      <w:marBottom w:val="0"/>
      <w:divBdr>
        <w:top w:val="none" w:sz="0" w:space="0" w:color="auto"/>
        <w:left w:val="none" w:sz="0" w:space="0" w:color="auto"/>
        <w:bottom w:val="none" w:sz="0" w:space="0" w:color="auto"/>
        <w:right w:val="none" w:sz="0" w:space="0" w:color="auto"/>
      </w:divBdr>
    </w:div>
    <w:div w:id="1452674094">
      <w:bodyDiv w:val="1"/>
      <w:marLeft w:val="0"/>
      <w:marRight w:val="0"/>
      <w:marTop w:val="0"/>
      <w:marBottom w:val="0"/>
      <w:divBdr>
        <w:top w:val="none" w:sz="0" w:space="0" w:color="auto"/>
        <w:left w:val="none" w:sz="0" w:space="0" w:color="auto"/>
        <w:bottom w:val="none" w:sz="0" w:space="0" w:color="auto"/>
        <w:right w:val="none" w:sz="0" w:space="0" w:color="auto"/>
      </w:divBdr>
    </w:div>
    <w:div w:id="1456753608">
      <w:bodyDiv w:val="1"/>
      <w:marLeft w:val="0"/>
      <w:marRight w:val="0"/>
      <w:marTop w:val="0"/>
      <w:marBottom w:val="0"/>
      <w:divBdr>
        <w:top w:val="none" w:sz="0" w:space="0" w:color="auto"/>
        <w:left w:val="none" w:sz="0" w:space="0" w:color="auto"/>
        <w:bottom w:val="none" w:sz="0" w:space="0" w:color="auto"/>
        <w:right w:val="none" w:sz="0" w:space="0" w:color="auto"/>
      </w:divBdr>
    </w:div>
    <w:div w:id="1469400047">
      <w:bodyDiv w:val="1"/>
      <w:marLeft w:val="0"/>
      <w:marRight w:val="0"/>
      <w:marTop w:val="0"/>
      <w:marBottom w:val="0"/>
      <w:divBdr>
        <w:top w:val="none" w:sz="0" w:space="0" w:color="auto"/>
        <w:left w:val="none" w:sz="0" w:space="0" w:color="auto"/>
        <w:bottom w:val="none" w:sz="0" w:space="0" w:color="auto"/>
        <w:right w:val="none" w:sz="0" w:space="0" w:color="auto"/>
      </w:divBdr>
    </w:div>
    <w:div w:id="1487361561">
      <w:bodyDiv w:val="1"/>
      <w:marLeft w:val="0"/>
      <w:marRight w:val="0"/>
      <w:marTop w:val="0"/>
      <w:marBottom w:val="0"/>
      <w:divBdr>
        <w:top w:val="none" w:sz="0" w:space="0" w:color="auto"/>
        <w:left w:val="none" w:sz="0" w:space="0" w:color="auto"/>
        <w:bottom w:val="none" w:sz="0" w:space="0" w:color="auto"/>
        <w:right w:val="none" w:sz="0" w:space="0" w:color="auto"/>
      </w:divBdr>
    </w:div>
    <w:div w:id="1555387822">
      <w:bodyDiv w:val="1"/>
      <w:marLeft w:val="0"/>
      <w:marRight w:val="0"/>
      <w:marTop w:val="0"/>
      <w:marBottom w:val="0"/>
      <w:divBdr>
        <w:top w:val="none" w:sz="0" w:space="0" w:color="auto"/>
        <w:left w:val="none" w:sz="0" w:space="0" w:color="auto"/>
        <w:bottom w:val="none" w:sz="0" w:space="0" w:color="auto"/>
        <w:right w:val="none" w:sz="0" w:space="0" w:color="auto"/>
      </w:divBdr>
    </w:div>
    <w:div w:id="1574007286">
      <w:bodyDiv w:val="1"/>
      <w:marLeft w:val="0"/>
      <w:marRight w:val="0"/>
      <w:marTop w:val="0"/>
      <w:marBottom w:val="0"/>
      <w:divBdr>
        <w:top w:val="none" w:sz="0" w:space="0" w:color="auto"/>
        <w:left w:val="none" w:sz="0" w:space="0" w:color="auto"/>
        <w:bottom w:val="none" w:sz="0" w:space="0" w:color="auto"/>
        <w:right w:val="none" w:sz="0" w:space="0" w:color="auto"/>
      </w:divBdr>
    </w:div>
    <w:div w:id="1654985306">
      <w:bodyDiv w:val="1"/>
      <w:marLeft w:val="0"/>
      <w:marRight w:val="0"/>
      <w:marTop w:val="0"/>
      <w:marBottom w:val="0"/>
      <w:divBdr>
        <w:top w:val="none" w:sz="0" w:space="0" w:color="auto"/>
        <w:left w:val="none" w:sz="0" w:space="0" w:color="auto"/>
        <w:bottom w:val="none" w:sz="0" w:space="0" w:color="auto"/>
        <w:right w:val="none" w:sz="0" w:space="0" w:color="auto"/>
      </w:divBdr>
    </w:div>
    <w:div w:id="1659381024">
      <w:bodyDiv w:val="1"/>
      <w:marLeft w:val="0"/>
      <w:marRight w:val="0"/>
      <w:marTop w:val="0"/>
      <w:marBottom w:val="0"/>
      <w:divBdr>
        <w:top w:val="none" w:sz="0" w:space="0" w:color="auto"/>
        <w:left w:val="none" w:sz="0" w:space="0" w:color="auto"/>
        <w:bottom w:val="none" w:sz="0" w:space="0" w:color="auto"/>
        <w:right w:val="none" w:sz="0" w:space="0" w:color="auto"/>
      </w:divBdr>
    </w:div>
    <w:div w:id="1692030307">
      <w:bodyDiv w:val="1"/>
      <w:marLeft w:val="0"/>
      <w:marRight w:val="0"/>
      <w:marTop w:val="0"/>
      <w:marBottom w:val="0"/>
      <w:divBdr>
        <w:top w:val="none" w:sz="0" w:space="0" w:color="auto"/>
        <w:left w:val="none" w:sz="0" w:space="0" w:color="auto"/>
        <w:bottom w:val="none" w:sz="0" w:space="0" w:color="auto"/>
        <w:right w:val="none" w:sz="0" w:space="0" w:color="auto"/>
      </w:divBdr>
    </w:div>
    <w:div w:id="1700231647">
      <w:bodyDiv w:val="1"/>
      <w:marLeft w:val="0"/>
      <w:marRight w:val="0"/>
      <w:marTop w:val="0"/>
      <w:marBottom w:val="0"/>
      <w:divBdr>
        <w:top w:val="none" w:sz="0" w:space="0" w:color="auto"/>
        <w:left w:val="none" w:sz="0" w:space="0" w:color="auto"/>
        <w:bottom w:val="none" w:sz="0" w:space="0" w:color="auto"/>
        <w:right w:val="none" w:sz="0" w:space="0" w:color="auto"/>
      </w:divBdr>
      <w:divsChild>
        <w:div w:id="2066297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326384">
      <w:bodyDiv w:val="1"/>
      <w:marLeft w:val="0"/>
      <w:marRight w:val="0"/>
      <w:marTop w:val="0"/>
      <w:marBottom w:val="0"/>
      <w:divBdr>
        <w:top w:val="none" w:sz="0" w:space="0" w:color="auto"/>
        <w:left w:val="none" w:sz="0" w:space="0" w:color="auto"/>
        <w:bottom w:val="none" w:sz="0" w:space="0" w:color="auto"/>
        <w:right w:val="none" w:sz="0" w:space="0" w:color="auto"/>
      </w:divBdr>
    </w:div>
    <w:div w:id="1805346813">
      <w:bodyDiv w:val="1"/>
      <w:marLeft w:val="0"/>
      <w:marRight w:val="0"/>
      <w:marTop w:val="0"/>
      <w:marBottom w:val="0"/>
      <w:divBdr>
        <w:top w:val="none" w:sz="0" w:space="0" w:color="auto"/>
        <w:left w:val="none" w:sz="0" w:space="0" w:color="auto"/>
        <w:bottom w:val="none" w:sz="0" w:space="0" w:color="auto"/>
        <w:right w:val="none" w:sz="0" w:space="0" w:color="auto"/>
      </w:divBdr>
      <w:divsChild>
        <w:div w:id="796484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4512153">
      <w:bodyDiv w:val="1"/>
      <w:marLeft w:val="0"/>
      <w:marRight w:val="0"/>
      <w:marTop w:val="0"/>
      <w:marBottom w:val="0"/>
      <w:divBdr>
        <w:top w:val="none" w:sz="0" w:space="0" w:color="auto"/>
        <w:left w:val="none" w:sz="0" w:space="0" w:color="auto"/>
        <w:bottom w:val="none" w:sz="0" w:space="0" w:color="auto"/>
        <w:right w:val="none" w:sz="0" w:space="0" w:color="auto"/>
      </w:divBdr>
    </w:div>
    <w:div w:id="1945839349">
      <w:bodyDiv w:val="1"/>
      <w:marLeft w:val="0"/>
      <w:marRight w:val="0"/>
      <w:marTop w:val="0"/>
      <w:marBottom w:val="0"/>
      <w:divBdr>
        <w:top w:val="none" w:sz="0" w:space="0" w:color="auto"/>
        <w:left w:val="none" w:sz="0" w:space="0" w:color="auto"/>
        <w:bottom w:val="none" w:sz="0" w:space="0" w:color="auto"/>
        <w:right w:val="none" w:sz="0" w:space="0" w:color="auto"/>
      </w:divBdr>
    </w:div>
    <w:div w:id="2076926313">
      <w:bodyDiv w:val="1"/>
      <w:marLeft w:val="0"/>
      <w:marRight w:val="0"/>
      <w:marTop w:val="0"/>
      <w:marBottom w:val="0"/>
      <w:divBdr>
        <w:top w:val="none" w:sz="0" w:space="0" w:color="auto"/>
        <w:left w:val="none" w:sz="0" w:space="0" w:color="auto"/>
        <w:bottom w:val="none" w:sz="0" w:space="0" w:color="auto"/>
        <w:right w:val="none" w:sz="0" w:space="0" w:color="auto"/>
      </w:divBdr>
    </w:div>
    <w:div w:id="21349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0F9F5-80A6-4181-BC40-E0F5616D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13775</Words>
  <Characters>78520</Characters>
  <Application>Microsoft Office Word</Application>
  <DocSecurity>0</DocSecurity>
  <Lines>654</Lines>
  <Paragraphs>184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Therefore, the present study aims to comprehensively investigate the interrelati</vt:lpstr>
      <vt:lpstr>        MATERIALS AND METHODS </vt:lpstr>
      <vt:lpstr>        Study Population and Design</vt:lpstr>
      <vt:lpstr>        This cross-sectional, multicenter study was conducted between April 2024 and Dec</vt:lpstr>
      <vt:lpstr>        Eligibility Criteria and Patient Selection</vt:lpstr>
      <vt:lpstr>        Patients were eligible for inclusion if they presented with clinical and laborat</vt:lpstr>
      <vt:lpstr>        Clinical and Genotypic Classification</vt:lpstr>
      <vt:lpstr>        Following comprehensive molecular and biochemical characterization, patients wer</vt:lpstr>
      <vt:lpstr>        Clinical Assessment and Biospecimen Collection</vt:lpstr>
      <vt:lpstr>        Hematological and Biochemical Analyses</vt:lpstr>
      <vt:lpstr>        A comprehensive hematological evaluation was performed for all participants. Com</vt:lpstr>
      <vt:lpstr>        Iron status assessment included serum ferritin measurement by chemiluminescent i</vt:lpstr>
      <vt:lpstr>        Molecular Genetic Characterization</vt:lpstr>
      <vt:lpstr>        Oxidative Stress Assessment</vt:lpstr>
      <vt:lpstr>        Plasma levels of Malondialdehyde (MDA), a stable end-product of lipid peroxidati</vt:lpstr>
      <vt:lpstr>        Growth Differentiation Factor-15 Quantification</vt:lpstr>
      <vt:lpstr>        Plasma levels of Growth Differentiation Factor-15 (GDF-15) were measured using a</vt:lpstr>
    </vt:vector>
  </TitlesOfParts>
  <Company/>
  <LinksUpToDate>false</LinksUpToDate>
  <CharactersWithSpaces>92111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sharareh</dc:creator>
  <cp:keywords/>
  <dc:description/>
  <cp:lastModifiedBy>user</cp:lastModifiedBy>
  <cp:revision>2</cp:revision>
  <cp:lastPrinted>2025-05-19T15:12:00Z</cp:lastPrinted>
  <dcterms:created xsi:type="dcterms:W3CDTF">2025-09-13T08:10:00Z</dcterms:created>
  <dcterms:modified xsi:type="dcterms:W3CDTF">2025-09-13T08:10:00Z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78b102ad-21e0-4386-8def-5fd8a1d49aae</vt:lpwstr>
  </property>
</Properties>
</file>